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6EE2B" w14:textId="1C2100EB" w:rsidR="00B93641" w:rsidRPr="00721876" w:rsidRDefault="00FD69AC" w:rsidP="00B93641">
      <w:pPr>
        <w:spacing w:line="500" w:lineRule="exact"/>
        <w:jc w:val="center"/>
        <w:rPr>
          <w:rFonts w:ascii="標楷體" w:eastAsia="標楷體" w:hAnsi="標楷體"/>
          <w:b/>
          <w:sz w:val="36"/>
          <w:szCs w:val="36"/>
        </w:rPr>
      </w:pPr>
      <w:bookmarkStart w:id="0" w:name="_Hlk225780105"/>
      <w:proofErr w:type="gramStart"/>
      <w:r w:rsidRPr="00FD69AC">
        <w:rPr>
          <w:rFonts w:ascii="標楷體" w:eastAsia="標楷體" w:hAnsi="標楷體"/>
          <w:b/>
          <w:sz w:val="36"/>
          <w:szCs w:val="36"/>
        </w:rPr>
        <w:t>聯新國際</w:t>
      </w:r>
      <w:proofErr w:type="gramEnd"/>
      <w:r w:rsidRPr="00FD69AC">
        <w:rPr>
          <w:rFonts w:ascii="標楷體" w:eastAsia="標楷體" w:hAnsi="標楷體"/>
          <w:b/>
          <w:sz w:val="36"/>
          <w:szCs w:val="36"/>
        </w:rPr>
        <w:t>醫院</w:t>
      </w:r>
      <w:r w:rsidR="00886AEB">
        <w:rPr>
          <w:rFonts w:ascii="標楷體" w:eastAsia="標楷體" w:hAnsi="標楷體"/>
          <w:b/>
          <w:sz w:val="36"/>
          <w:szCs w:val="36"/>
        </w:rPr>
        <w:br/>
      </w:r>
      <w:r w:rsidR="00721876" w:rsidRPr="00721876">
        <w:rPr>
          <w:rFonts w:ascii="標楷體" w:eastAsia="標楷體" w:hAnsi="標楷體"/>
          <w:b/>
          <w:sz w:val="36"/>
          <w:szCs w:val="36"/>
        </w:rPr>
        <w:t>2026年外傷教育課程</w:t>
      </w:r>
    </w:p>
    <w:p w14:paraId="16D8A4C9" w14:textId="77777777" w:rsidR="00B93641" w:rsidRPr="00B06542" w:rsidRDefault="00B93641" w:rsidP="00B93641">
      <w:pPr>
        <w:numPr>
          <w:ilvl w:val="0"/>
          <w:numId w:val="10"/>
        </w:numPr>
        <w:spacing w:before="360" w:line="480" w:lineRule="auto"/>
        <w:ind w:left="482" w:hanging="482"/>
        <w:rPr>
          <w:rFonts w:ascii="標楷體" w:eastAsia="標楷體" w:hAnsi="標楷體"/>
        </w:rPr>
      </w:pPr>
      <w:r w:rsidRPr="00B06542">
        <w:rPr>
          <w:rFonts w:ascii="標楷體" w:eastAsia="標楷體" w:hAnsi="標楷體" w:hint="eastAsia"/>
        </w:rPr>
        <w:t>活動目的:</w:t>
      </w:r>
    </w:p>
    <w:p w14:paraId="103666A6" w14:textId="77777777" w:rsidR="00B93641" w:rsidRPr="00B06542" w:rsidRDefault="00B93641" w:rsidP="00B93641">
      <w:pPr>
        <w:numPr>
          <w:ilvl w:val="2"/>
          <w:numId w:val="13"/>
        </w:numPr>
        <w:tabs>
          <w:tab w:val="clear" w:pos="1440"/>
          <w:tab w:val="num" w:pos="851"/>
        </w:tabs>
        <w:snapToGrid w:val="0"/>
        <w:spacing w:line="360" w:lineRule="auto"/>
        <w:ind w:leftChars="177" w:left="850" w:hangingChars="177" w:hanging="425"/>
        <w:jc w:val="both"/>
        <w:rPr>
          <w:rFonts w:ascii="標楷體" w:eastAsia="標楷體" w:hAnsi="標楷體"/>
        </w:rPr>
      </w:pPr>
      <w:r w:rsidRPr="00B06542">
        <w:rPr>
          <w:rFonts w:ascii="標楷體" w:eastAsia="標楷體" w:hAnsi="標楷體" w:hint="eastAsia"/>
        </w:rPr>
        <w:t>依據</w:t>
      </w:r>
      <w:proofErr w:type="gramStart"/>
      <w:r w:rsidRPr="00B06542">
        <w:rPr>
          <w:rFonts w:ascii="標楷體" w:eastAsia="標楷體" w:hAnsi="標楷體" w:hint="eastAsia"/>
        </w:rPr>
        <w:t>1</w:t>
      </w:r>
      <w:r w:rsidRPr="00B06542">
        <w:rPr>
          <w:rFonts w:ascii="標楷體" w:eastAsia="標楷體" w:hAnsi="標楷體"/>
        </w:rPr>
        <w:t>1</w:t>
      </w:r>
      <w:r w:rsidRPr="00B06542">
        <w:rPr>
          <w:rFonts w:ascii="標楷體" w:eastAsia="標楷體" w:hAnsi="標楷體" w:hint="eastAsia"/>
        </w:rPr>
        <w:t>4</w:t>
      </w:r>
      <w:proofErr w:type="gramEnd"/>
      <w:r w:rsidRPr="00B06542">
        <w:rPr>
          <w:rFonts w:ascii="標楷體" w:eastAsia="標楷體" w:hAnsi="標楷體" w:hint="eastAsia"/>
        </w:rPr>
        <w:t>年度醫院緊急醫療能力分級評定基準及評分說明會內文：繼續教育時數，由中央主管機關認可之外傷團體辦理審查認定。</w:t>
      </w:r>
    </w:p>
    <w:p w14:paraId="120CA78E" w14:textId="77777777" w:rsidR="00B93641" w:rsidRPr="00B06542" w:rsidRDefault="00B93641" w:rsidP="00B93641">
      <w:pPr>
        <w:numPr>
          <w:ilvl w:val="2"/>
          <w:numId w:val="13"/>
        </w:numPr>
        <w:tabs>
          <w:tab w:val="clear" w:pos="1440"/>
          <w:tab w:val="num" w:pos="851"/>
        </w:tabs>
        <w:snapToGrid w:val="0"/>
        <w:spacing w:line="360" w:lineRule="auto"/>
        <w:ind w:leftChars="177" w:left="850" w:hangingChars="177" w:hanging="425"/>
        <w:jc w:val="both"/>
        <w:rPr>
          <w:rFonts w:ascii="標楷體" w:eastAsia="標楷體" w:hAnsi="標楷體"/>
        </w:rPr>
      </w:pPr>
      <w:r w:rsidRPr="00B06542">
        <w:rPr>
          <w:rFonts w:ascii="標楷體" w:eastAsia="標楷體" w:hAnsi="標楷體" w:hint="eastAsia"/>
        </w:rPr>
        <w:t>為提昇對外傷病人照顧品質，促進外傷醫學之發展與研究。</w:t>
      </w:r>
    </w:p>
    <w:p w14:paraId="0A849D60" w14:textId="77777777" w:rsidR="00B93641" w:rsidRPr="00B06542" w:rsidRDefault="00B93641" w:rsidP="00B93641">
      <w:pPr>
        <w:numPr>
          <w:ilvl w:val="2"/>
          <w:numId w:val="13"/>
        </w:numPr>
        <w:tabs>
          <w:tab w:val="clear" w:pos="1440"/>
          <w:tab w:val="num" w:pos="851"/>
        </w:tabs>
        <w:snapToGrid w:val="0"/>
        <w:spacing w:line="360" w:lineRule="auto"/>
        <w:ind w:leftChars="177" w:left="850" w:hangingChars="177" w:hanging="425"/>
        <w:jc w:val="both"/>
        <w:rPr>
          <w:rFonts w:ascii="標楷體" w:eastAsia="標楷體" w:hAnsi="標楷體"/>
        </w:rPr>
      </w:pPr>
      <w:r w:rsidRPr="00B06542">
        <w:rPr>
          <w:rFonts w:ascii="標楷體" w:eastAsia="標楷體" w:hAnsi="標楷體" w:hint="eastAsia"/>
        </w:rPr>
        <w:t>為符合【醫院緊急醫療能力分級評定基準】</w:t>
      </w:r>
      <w:r w:rsidRPr="00B06542">
        <w:rPr>
          <w:rFonts w:ascii="標楷體" w:eastAsia="標楷體" w:hAnsi="標楷體"/>
        </w:rPr>
        <w:t>4.1.</w:t>
      </w:r>
      <w:r w:rsidRPr="00B06542">
        <w:rPr>
          <w:rFonts w:ascii="標楷體" w:eastAsia="標楷體" w:hAnsi="標楷體" w:hint="eastAsia"/>
        </w:rPr>
        <w:t>2</w:t>
      </w:r>
      <w:r w:rsidRPr="00B06542">
        <w:rPr>
          <w:rFonts w:ascii="標楷體" w:eastAsia="標楷體" w:hAnsi="標楷體"/>
        </w:rPr>
        <w:t xml:space="preserve"> </w:t>
      </w:r>
      <w:r w:rsidRPr="00B06542">
        <w:rPr>
          <w:rFonts w:ascii="標楷體" w:eastAsia="標楷體" w:hAnsi="標楷體" w:hint="eastAsia"/>
        </w:rPr>
        <w:t>中規定：</w:t>
      </w:r>
    </w:p>
    <w:p w14:paraId="1C96147D" w14:textId="77777777" w:rsidR="00B93641" w:rsidRPr="00B06542" w:rsidRDefault="00B93641" w:rsidP="00B93641">
      <w:pPr>
        <w:snapToGrid w:val="0"/>
        <w:spacing w:line="360" w:lineRule="auto"/>
        <w:ind w:leftChars="355" w:left="1133" w:hangingChars="117" w:hanging="281"/>
        <w:jc w:val="both"/>
        <w:rPr>
          <w:rFonts w:ascii="標楷體" w:eastAsia="標楷體" w:hAnsi="標楷體"/>
        </w:rPr>
      </w:pPr>
      <w:r w:rsidRPr="00B06542">
        <w:rPr>
          <w:rFonts w:ascii="標楷體" w:eastAsia="標楷體" w:hAnsi="標楷體"/>
        </w:rPr>
        <w:t>(1)</w:t>
      </w:r>
      <w:r w:rsidRPr="00B06542">
        <w:rPr>
          <w:rFonts w:ascii="標楷體" w:eastAsia="標楷體" w:hAnsi="標楷體" w:hint="eastAsia"/>
        </w:rPr>
        <w:t>應有80%以上外傷醫護人員三年需具備16小時以上中央主管機關認可之外傷繼續教育時數。</w:t>
      </w:r>
    </w:p>
    <w:p w14:paraId="449CC41F" w14:textId="77777777" w:rsidR="00B93641" w:rsidRPr="00B06542" w:rsidRDefault="00B93641" w:rsidP="00B93641">
      <w:pPr>
        <w:snapToGrid w:val="0"/>
        <w:spacing w:line="360" w:lineRule="auto"/>
        <w:ind w:leftChars="355" w:left="1133" w:hangingChars="117" w:hanging="281"/>
        <w:jc w:val="both"/>
        <w:rPr>
          <w:color w:val="FF0000"/>
          <w:sz w:val="32"/>
          <w:szCs w:val="32"/>
        </w:rPr>
      </w:pPr>
      <w:r w:rsidRPr="00B06542">
        <w:rPr>
          <w:rFonts w:ascii="標楷體" w:eastAsia="標楷體" w:hAnsi="標楷體"/>
        </w:rPr>
        <w:t>(2)</w:t>
      </w:r>
      <w:r w:rsidRPr="00B06542">
        <w:rPr>
          <w:color w:val="252525"/>
          <w:sz w:val="32"/>
          <w:szCs w:val="32"/>
        </w:rPr>
        <w:t xml:space="preserve"> </w:t>
      </w:r>
      <w:r w:rsidRPr="00B06542">
        <w:rPr>
          <w:rFonts w:ascii="標楷體" w:eastAsia="標楷體" w:hAnsi="標楷體"/>
        </w:rPr>
        <w:t>外傷醫護人員係指以下人員：</w:t>
      </w:r>
    </w:p>
    <w:p w14:paraId="4D1CA264" w14:textId="77777777" w:rsidR="00B93641" w:rsidRPr="00B06542" w:rsidRDefault="00B93641" w:rsidP="00B93641">
      <w:pPr>
        <w:snapToGrid w:val="0"/>
        <w:spacing w:line="360" w:lineRule="auto"/>
        <w:ind w:leftChars="555" w:left="1613" w:hangingChars="117" w:hanging="281"/>
        <w:jc w:val="both"/>
        <w:rPr>
          <w:rFonts w:ascii="標楷體" w:eastAsia="標楷體" w:hAnsi="標楷體"/>
        </w:rPr>
      </w:pPr>
      <w:r w:rsidRPr="00B06542">
        <w:rPr>
          <w:rFonts w:ascii="標楷體" w:eastAsia="標楷體" w:hAnsi="標楷體"/>
        </w:rPr>
        <w:t>1.外傷部門或外傷小組之主管、召集人、外傷專責醫師及外傷小組每日輪值醫師。</w:t>
      </w:r>
    </w:p>
    <w:p w14:paraId="25B56DA9" w14:textId="3C3CBA2C" w:rsidR="00B06542" w:rsidRPr="00B06542" w:rsidRDefault="00B93641" w:rsidP="00B06542">
      <w:pPr>
        <w:snapToGrid w:val="0"/>
        <w:spacing w:line="360" w:lineRule="auto"/>
        <w:ind w:leftChars="555" w:left="1613" w:hangingChars="117" w:hanging="281"/>
        <w:jc w:val="both"/>
        <w:rPr>
          <w:rFonts w:ascii="標楷體" w:eastAsia="標楷體" w:hAnsi="標楷體"/>
        </w:rPr>
      </w:pPr>
      <w:r w:rsidRPr="00B06542">
        <w:rPr>
          <w:rFonts w:ascii="標楷體" w:eastAsia="標楷體" w:hAnsi="標楷體"/>
        </w:rPr>
        <w:t xml:space="preserve">2.外傷病房及外傷加護病房，任職滿一年以上護理人員。 </w:t>
      </w:r>
    </w:p>
    <w:p w14:paraId="3AF661A4" w14:textId="1B6FD530" w:rsidR="00B93641" w:rsidRPr="00BB67BF" w:rsidRDefault="00B93641" w:rsidP="00BB67BF">
      <w:pPr>
        <w:spacing w:line="360" w:lineRule="auto"/>
        <w:rPr>
          <w:rFonts w:ascii="Times New Roman" w:eastAsia="標楷體" w:hAnsi="Times New Roman"/>
        </w:rPr>
      </w:pPr>
      <w:r w:rsidRPr="00B06542">
        <w:rPr>
          <w:rFonts w:ascii="標楷體" w:eastAsia="標楷體" w:hAnsi="標楷體" w:hint="eastAsia"/>
        </w:rPr>
        <w:t>二、</w:t>
      </w:r>
      <w:r w:rsidR="00B06542" w:rsidRPr="00B06542">
        <w:rPr>
          <w:rFonts w:ascii="標楷體" w:eastAsia="標楷體" w:hAnsi="標楷體"/>
        </w:rPr>
        <w:t>活動時間：</w:t>
      </w:r>
      <w:r w:rsidR="00300AD7">
        <w:rPr>
          <w:rFonts w:ascii="標楷體" w:eastAsia="標楷體" w:hAnsi="標楷體" w:hint="eastAsia"/>
        </w:rPr>
        <w:t xml:space="preserve">9月5日 </w:t>
      </w:r>
      <w:r w:rsidR="00300AD7">
        <w:rPr>
          <w:rFonts w:ascii="標楷體" w:eastAsia="標楷體" w:hAnsi="標楷體" w:hint="eastAsia"/>
          <w:sz w:val="26"/>
          <w:szCs w:val="26"/>
        </w:rPr>
        <w:t>10:00~17:00</w:t>
      </w:r>
      <w:r w:rsidR="00B06542" w:rsidRPr="00B06542">
        <w:rPr>
          <w:rFonts w:ascii="標楷體" w:eastAsia="標楷體" w:hAnsi="標楷體"/>
        </w:rPr>
        <w:br/>
      </w:r>
      <w:r w:rsidRPr="00B06542">
        <w:rPr>
          <w:rFonts w:ascii="標楷體" w:eastAsia="標楷體" w:hAnsi="標楷體" w:hint="eastAsia"/>
        </w:rPr>
        <w:t>三、</w:t>
      </w:r>
      <w:r w:rsidR="00B06542" w:rsidRPr="00B06542">
        <w:rPr>
          <w:rFonts w:ascii="標楷體" w:eastAsia="標楷體" w:hAnsi="標楷體"/>
        </w:rPr>
        <w:t>活動地點：</w:t>
      </w:r>
      <w:proofErr w:type="gramStart"/>
      <w:r w:rsidR="00B06542" w:rsidRPr="00B06542">
        <w:rPr>
          <w:rFonts w:ascii="標楷體" w:eastAsia="標楷體" w:hAnsi="標楷體"/>
        </w:rPr>
        <w:t>聯新國際</w:t>
      </w:r>
      <w:proofErr w:type="gramEnd"/>
      <w:r w:rsidR="00B06542" w:rsidRPr="00B06542">
        <w:rPr>
          <w:rFonts w:ascii="標楷體" w:eastAsia="標楷體" w:hAnsi="標楷體"/>
        </w:rPr>
        <w:t>醫療創新教育中心 (桃園市平鎮區環南路460號B1)</w:t>
      </w:r>
      <w:r w:rsidR="00B06542" w:rsidRPr="00B06542">
        <w:rPr>
          <w:rFonts w:ascii="標楷體" w:eastAsia="標楷體" w:hAnsi="標楷體"/>
        </w:rPr>
        <w:br/>
      </w:r>
      <w:r w:rsidRPr="00B06542">
        <w:rPr>
          <w:rFonts w:ascii="標楷體" w:eastAsia="標楷體" w:hAnsi="標楷體" w:hint="eastAsia"/>
        </w:rPr>
        <w:t xml:space="preserve">四、費    </w:t>
      </w:r>
      <w:r w:rsidRPr="00B06542">
        <w:rPr>
          <w:rFonts w:ascii="標楷體" w:eastAsia="標楷體" w:hAnsi="標楷體"/>
        </w:rPr>
        <w:t>用：</w:t>
      </w:r>
      <w:r w:rsidR="003E134A" w:rsidRPr="00B06542">
        <w:rPr>
          <w:rFonts w:ascii="Times New Roman" w:eastAsia="標楷體" w:hAnsi="Times New Roman"/>
        </w:rPr>
        <w:t>新台幣</w:t>
      </w:r>
      <w:r w:rsidR="003E134A" w:rsidRPr="00B06542">
        <w:rPr>
          <w:rFonts w:ascii="Times New Roman" w:eastAsia="標楷體" w:hAnsi="Times New Roman"/>
        </w:rPr>
        <w:t>$</w:t>
      </w:r>
      <w:r w:rsidR="00BB67BF">
        <w:rPr>
          <w:rFonts w:ascii="Times New Roman" w:eastAsia="標楷體" w:hAnsi="Times New Roman" w:hint="eastAsia"/>
        </w:rPr>
        <w:t>7</w:t>
      </w:r>
      <w:r w:rsidR="003E134A" w:rsidRPr="00B06542">
        <w:rPr>
          <w:rFonts w:ascii="Times New Roman" w:eastAsia="標楷體" w:hAnsi="Times New Roman"/>
        </w:rPr>
        <w:t>00</w:t>
      </w:r>
      <w:r w:rsidR="003E134A" w:rsidRPr="00B06542">
        <w:rPr>
          <w:rFonts w:ascii="Times New Roman" w:eastAsia="標楷體" w:hAnsi="Times New Roman"/>
        </w:rPr>
        <w:t>元。</w:t>
      </w:r>
      <w:r w:rsidR="003E134A" w:rsidRPr="00B06542">
        <w:rPr>
          <w:rFonts w:ascii="標楷體" w:eastAsia="標楷體" w:hAnsi="標楷體"/>
        </w:rPr>
        <w:br/>
      </w:r>
      <w:r w:rsidR="003E134A" w:rsidRPr="00B06542">
        <w:rPr>
          <w:rFonts w:ascii="標楷體" w:eastAsia="標楷體" w:hAnsi="標楷體" w:hint="eastAsia"/>
        </w:rPr>
        <w:t xml:space="preserve">   </w:t>
      </w:r>
      <w:r w:rsidR="0060080A" w:rsidRPr="00B06542">
        <w:rPr>
          <w:rFonts w:ascii="標楷體" w:eastAsia="標楷體" w:hAnsi="標楷體" w:hint="eastAsia"/>
        </w:rPr>
        <w:t xml:space="preserve">　　　　　</w:t>
      </w:r>
      <w:r w:rsidR="003E134A" w:rsidRPr="00B06542">
        <w:rPr>
          <w:rFonts w:ascii="標楷體" w:eastAsia="標楷體" w:hAnsi="標楷體" w:hint="eastAsia"/>
        </w:rPr>
        <w:t xml:space="preserve"> 備註：</w:t>
      </w:r>
      <w:proofErr w:type="gramStart"/>
      <w:r w:rsidR="003E134A" w:rsidRPr="00B06542">
        <w:rPr>
          <w:rFonts w:ascii="標楷體" w:eastAsia="標楷體" w:hAnsi="標楷體" w:hint="eastAsia"/>
        </w:rPr>
        <w:t>聯新國際</w:t>
      </w:r>
      <w:proofErr w:type="gramEnd"/>
      <w:r w:rsidR="003E134A" w:rsidRPr="00B06542">
        <w:rPr>
          <w:rFonts w:ascii="標楷體" w:eastAsia="標楷體" w:hAnsi="標楷體" w:hint="eastAsia"/>
        </w:rPr>
        <w:t>醫院同仁</w:t>
      </w:r>
      <w:r w:rsidR="0060080A" w:rsidRPr="00B06542">
        <w:rPr>
          <w:rFonts w:ascii="標楷體" w:eastAsia="標楷體" w:hAnsi="標楷體" w:hint="eastAsia"/>
        </w:rPr>
        <w:t>全額</w:t>
      </w:r>
      <w:r w:rsidR="003E134A" w:rsidRPr="00B06542">
        <w:rPr>
          <w:rFonts w:ascii="標楷體" w:eastAsia="標楷體" w:hAnsi="標楷體" w:hint="eastAsia"/>
        </w:rPr>
        <w:t>公費</w:t>
      </w:r>
    </w:p>
    <w:p w14:paraId="1709A092" w14:textId="34C475C6" w:rsidR="00B06542" w:rsidRPr="00B06542" w:rsidRDefault="0060080A" w:rsidP="00B06542">
      <w:pPr>
        <w:spacing w:line="320" w:lineRule="atLeast"/>
        <w:contextualSpacing/>
        <w:mirrorIndents/>
        <w:rPr>
          <w:rFonts w:ascii="標楷體" w:eastAsia="標楷體" w:hAnsi="標楷體"/>
        </w:rPr>
      </w:pPr>
      <w:r w:rsidRPr="00B06542">
        <w:rPr>
          <w:rFonts w:ascii="標楷體" w:eastAsia="標楷體" w:hAnsi="標楷體"/>
        </w:rPr>
        <w:t>六、報名方式：</w:t>
      </w:r>
    </w:p>
    <w:p w14:paraId="1FF906D5" w14:textId="365AF60A" w:rsidR="00503ACE" w:rsidRPr="00503ACE" w:rsidRDefault="00B06542" w:rsidP="00B06542">
      <w:pPr>
        <w:spacing w:line="320" w:lineRule="atLeast"/>
        <w:contextualSpacing/>
        <w:mirrorIndents/>
      </w:pPr>
      <w:r w:rsidRPr="00B06542">
        <w:rPr>
          <w:rFonts w:ascii="標楷體" w:eastAsia="標楷體" w:hAnsi="標楷體"/>
        </w:rPr>
        <w:t>    1.一律</w:t>
      </w:r>
      <w:proofErr w:type="gramStart"/>
      <w:r w:rsidRPr="00B06542">
        <w:rPr>
          <w:rFonts w:ascii="標楷體" w:eastAsia="標楷體" w:hAnsi="標楷體"/>
        </w:rPr>
        <w:t>採線上</w:t>
      </w:r>
      <w:proofErr w:type="gramEnd"/>
      <w:r w:rsidRPr="00B06542">
        <w:rPr>
          <w:rFonts w:ascii="標楷體" w:eastAsia="標楷體" w:hAnsi="標楷體"/>
        </w:rPr>
        <w:t>報名，報名連結: </w:t>
      </w:r>
      <w:hyperlink r:id="rId8" w:history="1">
        <w:r w:rsidR="00503ACE" w:rsidRPr="00503ACE">
          <w:rPr>
            <w:rStyle w:val="a6"/>
          </w:rPr>
          <w:t>https://forms.gle/Paannvus7W5JCg2AA</w:t>
        </w:r>
      </w:hyperlink>
    </w:p>
    <w:p w14:paraId="2EBAEB0F" w14:textId="0C163D10" w:rsidR="00B06542" w:rsidRPr="00B06542" w:rsidRDefault="00B06542" w:rsidP="00B06542">
      <w:pPr>
        <w:spacing w:line="320" w:lineRule="atLeast"/>
        <w:contextualSpacing/>
        <w:mirrorIndents/>
        <w:rPr>
          <w:rFonts w:ascii="標楷體" w:eastAsia="標楷體" w:hAnsi="標楷體"/>
        </w:rPr>
      </w:pPr>
      <w:r w:rsidRPr="00B06542">
        <w:rPr>
          <w:rFonts w:ascii="標楷體" w:eastAsia="標楷體" w:hAnsi="標楷體"/>
        </w:rPr>
        <w:t>    2.錄取者將依據填表紀錄信件通知及繳費資訊</w:t>
      </w:r>
    </w:p>
    <w:p w14:paraId="53D877C3" w14:textId="7695ABF8" w:rsidR="00B06542" w:rsidRPr="00B06542" w:rsidRDefault="00B06542" w:rsidP="00B06542">
      <w:pPr>
        <w:spacing w:line="320" w:lineRule="atLeast"/>
        <w:contextualSpacing/>
        <w:mirrorIndents/>
        <w:rPr>
          <w:rFonts w:ascii="標楷體" w:eastAsia="標楷體" w:hAnsi="標楷體"/>
        </w:rPr>
      </w:pPr>
      <w:r w:rsidRPr="00B06542">
        <w:rPr>
          <w:rFonts w:ascii="標楷體" w:eastAsia="標楷體" w:hAnsi="標楷體"/>
        </w:rPr>
        <w:t>    3.聯絡資訊：黃郁庭管理師，TEL:03-4941234*4932；</w:t>
      </w:r>
    </w:p>
    <w:p w14:paraId="0F249F51" w14:textId="6451DE4F" w:rsidR="00B06542" w:rsidRPr="00B06542" w:rsidRDefault="00B06542" w:rsidP="003E134A">
      <w:pPr>
        <w:spacing w:line="320" w:lineRule="atLeast"/>
        <w:contextualSpacing/>
        <w:mirrorIndents/>
        <w:rPr>
          <w:rFonts w:ascii="Times New Roman" w:eastAsia="標楷體" w:hAnsi="Times New Roman"/>
        </w:rPr>
      </w:pPr>
      <w:r w:rsidRPr="00B06542">
        <w:rPr>
          <w:rFonts w:ascii="標楷體" w:eastAsia="標楷體" w:hAnsi="標楷體"/>
        </w:rPr>
        <w:t>       E-MAIL：</w:t>
      </w:r>
      <w:hyperlink r:id="rId9" w:history="1">
        <w:r w:rsidRPr="00B06542">
          <w:rPr>
            <w:rStyle w:val="a6"/>
            <w:rFonts w:ascii="標楷體" w:eastAsia="標楷體" w:hAnsi="標楷體"/>
          </w:rPr>
          <w:t>huangyuti@landseed.com.tw</w:t>
        </w:r>
      </w:hyperlink>
      <w:r w:rsidRPr="00B06542">
        <w:rPr>
          <w:rFonts w:ascii="標楷體" w:eastAsia="標楷體" w:hAnsi="標楷體"/>
        </w:rPr>
        <w:br/>
        <w:t xml:space="preserve">    4.</w:t>
      </w:r>
      <w:r w:rsidRPr="00B06542">
        <w:rPr>
          <w:rFonts w:ascii="Times New Roman" w:eastAsia="標楷體" w:hAnsi="Times New Roman"/>
        </w:rPr>
        <w:t xml:space="preserve"> </w:t>
      </w:r>
      <w:r w:rsidRPr="00B06542">
        <w:rPr>
          <w:rFonts w:ascii="Times New Roman" w:eastAsia="標楷體" w:hAnsi="Times New Roman"/>
        </w:rPr>
        <w:t>收據開立：</w:t>
      </w:r>
      <w:r w:rsidRPr="00B06542">
        <w:rPr>
          <w:rFonts w:ascii="Times New Roman" w:eastAsia="標楷體" w:hAnsi="Times New Roman"/>
        </w:rPr>
        <w:t xml:space="preserve"> </w:t>
      </w:r>
      <w:r w:rsidRPr="00B06542">
        <w:rPr>
          <w:rFonts w:ascii="Times New Roman" w:eastAsia="標楷體" w:hAnsi="Times New Roman"/>
        </w:rPr>
        <w:t>研討會當天報到時，於報到處統一發放繳費收據。</w:t>
      </w:r>
    </w:p>
    <w:p w14:paraId="3EF64560" w14:textId="77777777" w:rsidR="00B06542" w:rsidRPr="00B06542" w:rsidRDefault="00B06542" w:rsidP="003E134A">
      <w:pPr>
        <w:spacing w:line="320" w:lineRule="atLeast"/>
        <w:contextualSpacing/>
        <w:mirrorIndents/>
        <w:rPr>
          <w:rFonts w:ascii="Times New Roman" w:eastAsia="標楷體" w:hAnsi="Times New Roman"/>
        </w:rPr>
      </w:pPr>
    </w:p>
    <w:p w14:paraId="23719412" w14:textId="2F04259A" w:rsidR="00B06542" w:rsidRPr="00B06542" w:rsidRDefault="0060080A" w:rsidP="00B06542">
      <w:pPr>
        <w:spacing w:line="320" w:lineRule="atLeast"/>
        <w:contextualSpacing/>
        <w:mirrorIndents/>
        <w:rPr>
          <w:rFonts w:ascii="Times New Roman" w:eastAsia="標楷體" w:hAnsi="Times New Roman"/>
        </w:rPr>
      </w:pPr>
      <w:r w:rsidRPr="00B06542">
        <w:rPr>
          <w:rFonts w:ascii="Times New Roman" w:eastAsia="標楷體" w:hAnsi="Times New Roman"/>
        </w:rPr>
        <w:t>七、</w:t>
      </w:r>
      <w:r w:rsidR="00B06542" w:rsidRPr="00B06542">
        <w:rPr>
          <w:rFonts w:ascii="Times New Roman" w:eastAsia="標楷體" w:hAnsi="Times New Roman"/>
        </w:rPr>
        <w:t>參加對象：</w:t>
      </w:r>
      <w:r w:rsidR="00B06542" w:rsidRPr="00B06542">
        <w:rPr>
          <w:rFonts w:ascii="Times New Roman" w:eastAsia="標楷體" w:hAnsi="Times New Roman"/>
        </w:rPr>
        <w:t>1.</w:t>
      </w:r>
      <w:r w:rsidR="00EF2B03" w:rsidRPr="00EF2B03">
        <w:rPr>
          <w:rFonts w:ascii="Times New Roman" w:eastAsia="標楷體" w:hAnsi="Times New Roman"/>
        </w:rPr>
        <w:t>本院及院外臨床醫護、</w:t>
      </w:r>
      <w:proofErr w:type="gramStart"/>
      <w:r w:rsidR="00EF2B03" w:rsidRPr="00EF2B03">
        <w:rPr>
          <w:rFonts w:ascii="Times New Roman" w:eastAsia="標楷體" w:hAnsi="Times New Roman"/>
        </w:rPr>
        <w:t>醫</w:t>
      </w:r>
      <w:proofErr w:type="gramEnd"/>
      <w:r w:rsidR="00EF2B03" w:rsidRPr="00EF2B03">
        <w:rPr>
          <w:rFonts w:ascii="Times New Roman" w:eastAsia="標楷體" w:hAnsi="Times New Roman"/>
        </w:rPr>
        <w:t>事人員</w:t>
      </w:r>
      <w:r w:rsidR="00EF2B03">
        <w:rPr>
          <w:rFonts w:ascii="Times New Roman" w:eastAsia="標楷體" w:hAnsi="Times New Roman"/>
        </w:rPr>
        <w:br/>
      </w:r>
      <w:r w:rsidR="00B06542" w:rsidRPr="00B06542">
        <w:rPr>
          <w:rFonts w:ascii="Times New Roman" w:eastAsia="標楷體" w:hAnsi="Times New Roman"/>
        </w:rPr>
        <w:t>               2.</w:t>
      </w:r>
      <w:r w:rsidR="00B06542" w:rsidRPr="00B06542">
        <w:rPr>
          <w:rFonts w:ascii="Times New Roman" w:eastAsia="標楷體" w:hAnsi="Times New Roman"/>
        </w:rPr>
        <w:t>場次活動名額上限</w:t>
      </w:r>
      <w:r w:rsidR="00B06542" w:rsidRPr="00B06542">
        <w:rPr>
          <w:rFonts w:ascii="Times New Roman" w:eastAsia="標楷體" w:hAnsi="Times New Roman"/>
        </w:rPr>
        <w:t>50</w:t>
      </w:r>
      <w:r w:rsidR="00B06542" w:rsidRPr="00B06542">
        <w:rPr>
          <w:rFonts w:ascii="Times New Roman" w:eastAsia="標楷體" w:hAnsi="Times New Roman"/>
        </w:rPr>
        <w:t>位學員</w:t>
      </w:r>
      <w:r w:rsidR="00B06542" w:rsidRPr="00B06542">
        <w:rPr>
          <w:rFonts w:ascii="Times New Roman" w:eastAsia="標楷體" w:hAnsi="Times New Roman"/>
        </w:rPr>
        <w:t xml:space="preserve">      </w:t>
      </w:r>
    </w:p>
    <w:p w14:paraId="73752288" w14:textId="649EE7E8" w:rsidR="0060080A" w:rsidRPr="00B06542" w:rsidRDefault="0060080A" w:rsidP="0060080A">
      <w:pPr>
        <w:spacing w:line="320" w:lineRule="atLeast"/>
        <w:contextualSpacing/>
        <w:mirrorIndents/>
        <w:rPr>
          <w:rFonts w:ascii="Times New Roman" w:eastAsia="標楷體" w:hAnsi="Times New Roman"/>
        </w:rPr>
      </w:pPr>
      <w:r w:rsidRPr="00B06542">
        <w:rPr>
          <w:rFonts w:ascii="Times New Roman" w:eastAsia="標楷體" w:hAnsi="Times New Roman"/>
        </w:rPr>
        <w:t>八、注意事項：</w:t>
      </w:r>
    </w:p>
    <w:p w14:paraId="6FBAAF65" w14:textId="575EB4E3" w:rsidR="0060080A" w:rsidRPr="00B06542" w:rsidRDefault="00B06542" w:rsidP="0060080A">
      <w:pPr>
        <w:spacing w:line="360" w:lineRule="auto"/>
        <w:jc w:val="both"/>
        <w:rPr>
          <w:rFonts w:ascii="標楷體" w:eastAsia="標楷體" w:hAnsi="標楷體"/>
        </w:rPr>
      </w:pPr>
      <w:r w:rsidRPr="00B06542">
        <w:rPr>
          <w:rFonts w:ascii="標楷體" w:eastAsia="標楷體" w:hAnsi="標楷體"/>
        </w:rPr>
        <w:t xml:space="preserve">    </w:t>
      </w:r>
      <w:r w:rsidRPr="00B06542">
        <w:rPr>
          <w:rFonts w:ascii="標楷體" w:eastAsia="標楷體" w:hAnsi="標楷體" w:hint="eastAsia"/>
        </w:rPr>
        <w:t>1.</w:t>
      </w:r>
      <w:r w:rsidR="0060080A" w:rsidRPr="00B06542">
        <w:rPr>
          <w:rFonts w:ascii="標楷體" w:eastAsia="標楷體" w:hAnsi="標楷體" w:hint="eastAsia"/>
        </w:rPr>
        <w:t>響應環保： 為配合</w:t>
      </w:r>
      <w:proofErr w:type="gramStart"/>
      <w:r w:rsidR="0060080A" w:rsidRPr="00B06542">
        <w:rPr>
          <w:rFonts w:ascii="標楷體" w:eastAsia="標楷體" w:hAnsi="標楷體" w:hint="eastAsia"/>
        </w:rPr>
        <w:t>政府減塑政策</w:t>
      </w:r>
      <w:proofErr w:type="gramEnd"/>
      <w:r w:rsidR="0060080A" w:rsidRPr="00B06542">
        <w:rPr>
          <w:rFonts w:ascii="標楷體" w:eastAsia="標楷體" w:hAnsi="標楷體" w:hint="eastAsia"/>
        </w:rPr>
        <w:t>，會場恕不提供紙杯，請與會學員自行攜帶環保杯。</w:t>
      </w:r>
    </w:p>
    <w:p w14:paraId="318AD4E0" w14:textId="5D3945AF" w:rsidR="00B06542" w:rsidRPr="00B06542" w:rsidRDefault="00B06542" w:rsidP="0060080A">
      <w:pPr>
        <w:spacing w:line="360" w:lineRule="auto"/>
        <w:jc w:val="both"/>
        <w:rPr>
          <w:rFonts w:ascii="標楷體" w:eastAsia="標楷體" w:hAnsi="標楷體"/>
        </w:rPr>
      </w:pPr>
      <w:r w:rsidRPr="00B06542">
        <w:rPr>
          <w:rFonts w:ascii="標楷體" w:eastAsia="標楷體" w:hAnsi="標楷體"/>
        </w:rPr>
        <w:t xml:space="preserve">    </w:t>
      </w:r>
      <w:r w:rsidRPr="00B06542">
        <w:rPr>
          <w:rFonts w:ascii="標楷體" w:eastAsia="標楷體" w:hAnsi="標楷體" w:hint="eastAsia"/>
        </w:rPr>
        <w:t>2.</w:t>
      </w:r>
      <w:r w:rsidR="0060080A" w:rsidRPr="00B06542">
        <w:rPr>
          <w:rFonts w:ascii="標楷體" w:eastAsia="標楷體" w:hAnsi="標楷體" w:hint="eastAsia"/>
        </w:rPr>
        <w:t>活動變更： 若遇不可抗力之天災（如颱風、地震等），將依桃園市</w:t>
      </w:r>
      <w:proofErr w:type="gramStart"/>
      <w:r w:rsidR="0060080A" w:rsidRPr="00B06542">
        <w:rPr>
          <w:rFonts w:ascii="標楷體" w:eastAsia="標楷體" w:hAnsi="標楷體" w:hint="eastAsia"/>
        </w:rPr>
        <w:t>政府停班停課</w:t>
      </w:r>
      <w:proofErr w:type="gramEnd"/>
      <w:r w:rsidR="0060080A" w:rsidRPr="00B06542">
        <w:rPr>
          <w:rFonts w:ascii="標楷體" w:eastAsia="標楷體" w:hAnsi="標楷體" w:hint="eastAsia"/>
        </w:rPr>
        <w:t>公告為</w:t>
      </w:r>
      <w:proofErr w:type="gramStart"/>
      <w:r w:rsidR="0060080A" w:rsidRPr="00B06542">
        <w:rPr>
          <w:rFonts w:ascii="標楷體" w:eastAsia="標楷體" w:hAnsi="標楷體" w:hint="eastAsia"/>
        </w:rPr>
        <w:t>準</w:t>
      </w:r>
      <w:proofErr w:type="gramEnd"/>
      <w:r w:rsidR="0060080A" w:rsidRPr="00B06542">
        <w:rPr>
          <w:rFonts w:ascii="標楷體" w:eastAsia="標楷體" w:hAnsi="標楷體" w:hint="eastAsia"/>
        </w:rPr>
        <w:t>，</w:t>
      </w:r>
    </w:p>
    <w:p w14:paraId="67E7966C" w14:textId="65E528B0" w:rsidR="0060080A" w:rsidRPr="00B06542" w:rsidRDefault="00B06542" w:rsidP="0060080A">
      <w:pPr>
        <w:spacing w:line="360" w:lineRule="auto"/>
        <w:jc w:val="both"/>
        <w:rPr>
          <w:rFonts w:ascii="標楷體" w:eastAsia="標楷體" w:hAnsi="標楷體"/>
        </w:rPr>
      </w:pPr>
      <w:r w:rsidRPr="00B06542">
        <w:rPr>
          <w:rFonts w:ascii="Times New Roman" w:eastAsia="標楷體" w:hAnsi="Times New Roman"/>
        </w:rPr>
        <w:t xml:space="preserve">           </w:t>
      </w:r>
      <w:r w:rsidRPr="00B06542">
        <w:rPr>
          <w:rFonts w:ascii="標楷體" w:eastAsia="標楷體" w:hAnsi="標楷體"/>
        </w:rPr>
        <w:t xml:space="preserve">    </w:t>
      </w:r>
      <w:r w:rsidRPr="00B06542">
        <w:rPr>
          <w:rFonts w:ascii="Times New Roman" w:eastAsia="標楷體" w:hAnsi="Times New Roman"/>
        </w:rPr>
        <w:t xml:space="preserve">  </w:t>
      </w:r>
      <w:r w:rsidR="0060080A" w:rsidRPr="00B06542">
        <w:rPr>
          <w:rFonts w:ascii="標楷體" w:eastAsia="標楷體" w:hAnsi="標楷體" w:hint="eastAsia"/>
        </w:rPr>
        <w:t>活動延期辦理之日期將另行以 Email 通知。</w:t>
      </w:r>
    </w:p>
    <w:bookmarkEnd w:id="0"/>
    <w:p w14:paraId="08661DF4" w14:textId="77777777" w:rsidR="009B3CEA" w:rsidRPr="00B06542" w:rsidRDefault="009B3CEA" w:rsidP="009B3CEA">
      <w:pPr>
        <w:spacing w:line="360" w:lineRule="auto"/>
        <w:jc w:val="both"/>
        <w:rPr>
          <w:rFonts w:ascii="標楷體" w:eastAsia="標楷體" w:hAnsi="標楷體"/>
        </w:rPr>
      </w:pPr>
      <w:r w:rsidRPr="00B06542">
        <w:rPr>
          <w:rFonts w:ascii="標楷體" w:eastAsia="標楷體" w:hAnsi="標楷體"/>
        </w:rPr>
        <w:t>九、</w:t>
      </w:r>
      <w:r>
        <w:rPr>
          <w:rFonts w:ascii="標楷體" w:eastAsia="標楷體" w:hAnsi="標楷體" w:hint="eastAsia"/>
        </w:rPr>
        <w:t>申請積分認列：</w:t>
      </w:r>
      <w:r>
        <w:rPr>
          <w:rFonts w:eastAsia="標楷體" w:hint="eastAsia"/>
        </w:rPr>
        <w:t>外傷</w:t>
      </w:r>
      <w:r w:rsidRPr="001A78B4">
        <w:rPr>
          <w:rFonts w:eastAsia="標楷體"/>
        </w:rPr>
        <w:t>積分</w:t>
      </w:r>
      <w:r>
        <w:rPr>
          <w:rFonts w:eastAsia="標楷體" w:hint="eastAsia"/>
        </w:rPr>
        <w:t>、西</w:t>
      </w:r>
      <w:r>
        <w:rPr>
          <w:rFonts w:ascii="Times New Roman" w:eastAsia="標楷體" w:hAnsi="Times New Roman" w:hint="eastAsia"/>
        </w:rPr>
        <w:t>醫師</w:t>
      </w:r>
      <w:r w:rsidRPr="001A78B4">
        <w:rPr>
          <w:rFonts w:ascii="Times New Roman" w:eastAsia="標楷體" w:hAnsi="Times New Roman"/>
        </w:rPr>
        <w:t>積分</w:t>
      </w:r>
      <w:r>
        <w:rPr>
          <w:rFonts w:eastAsia="標楷體" w:hint="eastAsia"/>
        </w:rPr>
        <w:t>、</w:t>
      </w:r>
      <w:r>
        <w:rPr>
          <w:rFonts w:ascii="Times New Roman" w:eastAsia="標楷體" w:hAnsi="Times New Roman" w:hint="eastAsia"/>
        </w:rPr>
        <w:t>護理</w:t>
      </w:r>
      <w:r w:rsidRPr="001A78B4">
        <w:rPr>
          <w:rFonts w:ascii="Times New Roman" w:eastAsia="標楷體" w:hAnsi="Times New Roman"/>
        </w:rPr>
        <w:t>積分</w:t>
      </w:r>
      <w:r>
        <w:rPr>
          <w:rFonts w:eastAsia="標楷體" w:hint="eastAsia"/>
        </w:rPr>
        <w:t>、</w:t>
      </w:r>
      <w:r>
        <w:rPr>
          <w:rFonts w:ascii="Times New Roman" w:eastAsia="標楷體" w:hAnsi="Times New Roman" w:hint="eastAsia"/>
        </w:rPr>
        <w:t>專科護理師</w:t>
      </w:r>
      <w:r w:rsidRPr="001A78B4">
        <w:rPr>
          <w:rFonts w:ascii="Times New Roman" w:eastAsia="標楷體" w:hAnsi="Times New Roman"/>
        </w:rPr>
        <w:t>積分</w:t>
      </w:r>
    </w:p>
    <w:p w14:paraId="504768BC" w14:textId="77777777" w:rsidR="009F5067" w:rsidRDefault="009F5067">
      <w:pPr>
        <w:widowControl/>
        <w:rPr>
          <w:rFonts w:ascii="標楷體" w:eastAsia="標楷體" w:hAnsi="標楷體"/>
        </w:rPr>
      </w:pPr>
      <w:r>
        <w:rPr>
          <w:rFonts w:ascii="標楷體" w:eastAsia="標楷體" w:hAnsi="標楷體"/>
        </w:rPr>
        <w:br w:type="page"/>
      </w:r>
    </w:p>
    <w:p w14:paraId="5097DBA7" w14:textId="66D68F61" w:rsidR="009B3CEA" w:rsidRPr="00C17B32" w:rsidRDefault="009B3CEA" w:rsidP="009B3CEA">
      <w:pPr>
        <w:spacing w:line="360" w:lineRule="auto"/>
        <w:jc w:val="both"/>
        <w:rPr>
          <w:rFonts w:ascii="標楷體" w:eastAsia="標楷體" w:hAnsi="標楷體"/>
          <w:b/>
          <w:bCs/>
          <w:sz w:val="16"/>
        </w:rPr>
      </w:pPr>
      <w:r w:rsidRPr="00C17B32">
        <w:rPr>
          <w:rFonts w:ascii="標楷體" w:eastAsia="標楷體" w:hAnsi="標楷體" w:hint="eastAsia"/>
          <w:b/>
          <w:bCs/>
        </w:rPr>
        <w:lastRenderedPageBreak/>
        <w:t>十、課 程 表：</w:t>
      </w:r>
    </w:p>
    <w:tbl>
      <w:tblPr>
        <w:tblStyle w:val="7"/>
        <w:tblW w:w="0" w:type="auto"/>
        <w:tblLook w:val="04A0" w:firstRow="1" w:lastRow="0" w:firstColumn="1" w:lastColumn="0" w:noHBand="0" w:noVBand="1"/>
      </w:tblPr>
      <w:tblGrid>
        <w:gridCol w:w="2061"/>
        <w:gridCol w:w="3706"/>
        <w:gridCol w:w="2552"/>
        <w:gridCol w:w="2506"/>
      </w:tblGrid>
      <w:tr w:rsidR="009B3CEA" w:rsidRPr="00361084" w14:paraId="48AFFFAB" w14:textId="77777777" w:rsidTr="008C46A2">
        <w:trPr>
          <w:cnfStyle w:val="100000000000" w:firstRow="1" w:lastRow="0" w:firstColumn="0" w:lastColumn="0" w:oddVBand="0" w:evenVBand="0" w:oddHBand="0" w:evenHBand="0" w:firstRowFirstColumn="0" w:firstRowLastColumn="0" w:lastRowFirstColumn="0" w:lastRowLastColumn="0"/>
          <w:trHeight w:val="720"/>
        </w:trPr>
        <w:tc>
          <w:tcPr>
            <w:cnfStyle w:val="001000000100" w:firstRow="0" w:lastRow="0" w:firstColumn="1" w:lastColumn="0" w:oddVBand="0" w:evenVBand="0" w:oddHBand="0" w:evenHBand="0" w:firstRowFirstColumn="1" w:firstRowLastColumn="0" w:lastRowFirstColumn="0" w:lastRowLastColumn="0"/>
            <w:tcW w:w="2061" w:type="dxa"/>
            <w:tcBorders>
              <w:top w:val="thinThickSmallGap" w:sz="24" w:space="0" w:color="auto"/>
              <w:left w:val="thinThickSmallGap" w:sz="24" w:space="0" w:color="auto"/>
            </w:tcBorders>
            <w:shd w:val="clear" w:color="auto" w:fill="auto"/>
            <w:vAlign w:val="center"/>
            <w:hideMark/>
          </w:tcPr>
          <w:p w14:paraId="6CD2707B"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b w:val="0"/>
                <w:bCs w:val="0"/>
                <w:i w:val="0"/>
                <w:iCs w:val="0"/>
                <w:color w:val="auto"/>
              </w:rPr>
              <w:t>時段</w:t>
            </w:r>
          </w:p>
        </w:tc>
        <w:tc>
          <w:tcPr>
            <w:tcW w:w="3706" w:type="dxa"/>
            <w:tcBorders>
              <w:top w:val="thinThickSmallGap" w:sz="24" w:space="0" w:color="auto"/>
            </w:tcBorders>
            <w:shd w:val="clear" w:color="auto" w:fill="auto"/>
            <w:vAlign w:val="center"/>
            <w:hideMark/>
          </w:tcPr>
          <w:p w14:paraId="6031FE37" w14:textId="77777777" w:rsidR="009B3CEA" w:rsidRPr="00E505EA" w:rsidRDefault="009B3CEA" w:rsidP="008C46A2">
            <w:pPr>
              <w:spacing w:line="320" w:lineRule="atLeast"/>
              <w:contextualSpacing/>
              <w:mirrorIndents/>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b w:val="0"/>
                <w:bCs w:val="0"/>
                <w:color w:val="auto"/>
              </w:rPr>
              <w:t>主題項目</w:t>
            </w:r>
          </w:p>
        </w:tc>
        <w:tc>
          <w:tcPr>
            <w:tcW w:w="2552" w:type="dxa"/>
            <w:tcBorders>
              <w:top w:val="thinThickSmallGap" w:sz="24" w:space="0" w:color="auto"/>
              <w:right w:val="single" w:sz="4" w:space="0" w:color="auto"/>
            </w:tcBorders>
            <w:shd w:val="clear" w:color="auto" w:fill="auto"/>
            <w:vAlign w:val="center"/>
            <w:hideMark/>
          </w:tcPr>
          <w:p w14:paraId="78F27498" w14:textId="77777777" w:rsidR="009B3CEA" w:rsidRPr="00E505EA" w:rsidRDefault="009B3CEA" w:rsidP="008C46A2">
            <w:pPr>
              <w:spacing w:line="320" w:lineRule="atLeast"/>
              <w:contextualSpacing/>
              <w:mirrorIndents/>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b w:val="0"/>
                <w:bCs w:val="0"/>
                <w:color w:val="auto"/>
              </w:rPr>
              <w:t>負責講師</w:t>
            </w:r>
          </w:p>
        </w:tc>
        <w:tc>
          <w:tcPr>
            <w:tcW w:w="2506" w:type="dxa"/>
            <w:tcBorders>
              <w:top w:val="thinThickSmallGap" w:sz="24" w:space="0" w:color="auto"/>
              <w:left w:val="single" w:sz="4" w:space="0" w:color="auto"/>
              <w:right w:val="thickThinSmallGap" w:sz="24" w:space="0" w:color="auto"/>
            </w:tcBorders>
            <w:shd w:val="clear" w:color="auto" w:fill="auto"/>
            <w:vAlign w:val="center"/>
            <w:hideMark/>
          </w:tcPr>
          <w:p w14:paraId="086FEBA6" w14:textId="77777777" w:rsidR="009B3CEA" w:rsidRPr="00E505EA" w:rsidRDefault="009B3CEA" w:rsidP="008C46A2">
            <w:pPr>
              <w:spacing w:line="320" w:lineRule="atLeast"/>
              <w:contextualSpacing/>
              <w:mirrorIndents/>
              <w:jc w:val="center"/>
              <w:cnfStyle w:val="100000000000" w:firstRow="1"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b w:val="0"/>
                <w:bCs w:val="0"/>
                <w:color w:val="auto"/>
              </w:rPr>
              <w:t>臨床教學重點</w:t>
            </w:r>
            <w:r>
              <w:rPr>
                <w:rFonts w:ascii="標楷體" w:eastAsia="標楷體" w:hAnsi="標楷體" w:hint="eastAsia"/>
                <w:b w:val="0"/>
                <w:bCs w:val="0"/>
                <w:color w:val="auto"/>
              </w:rPr>
              <w:t>(參考)</w:t>
            </w:r>
          </w:p>
        </w:tc>
      </w:tr>
      <w:tr w:rsidR="009B3CEA" w:rsidRPr="00361084" w14:paraId="69671C61" w14:textId="77777777" w:rsidTr="008C46A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tcPr>
          <w:p w14:paraId="22F01E16"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Times New Roman" w:eastAsia="標楷體" w:hAnsi="Times New Roman"/>
                <w:i w:val="0"/>
                <w:iCs w:val="0"/>
              </w:rPr>
              <w:t>0</w:t>
            </w:r>
            <w:r w:rsidRPr="00E505EA">
              <w:rPr>
                <w:rFonts w:ascii="Times New Roman" w:eastAsia="標楷體" w:hAnsi="Times New Roman" w:hint="eastAsia"/>
                <w:i w:val="0"/>
                <w:iCs w:val="0"/>
              </w:rPr>
              <w:t>9</w:t>
            </w:r>
            <w:r w:rsidRPr="00E505EA">
              <w:rPr>
                <w:rFonts w:ascii="Times New Roman" w:eastAsia="標楷體" w:hAnsi="Times New Roman"/>
                <w:i w:val="0"/>
                <w:iCs w:val="0"/>
              </w:rPr>
              <w:t>:</w:t>
            </w:r>
            <w:r w:rsidRPr="00E505EA">
              <w:rPr>
                <w:rFonts w:ascii="Times New Roman" w:eastAsia="標楷體" w:hAnsi="Times New Roman" w:hint="eastAsia"/>
                <w:i w:val="0"/>
                <w:iCs w:val="0"/>
              </w:rPr>
              <w:t>30</w:t>
            </w:r>
            <w:r w:rsidRPr="00E505EA">
              <w:rPr>
                <w:rFonts w:ascii="標楷體" w:eastAsia="標楷體" w:hAnsi="標楷體"/>
                <w:i w:val="0"/>
                <w:iCs w:val="0"/>
                <w:color w:val="auto"/>
              </w:rPr>
              <w:t xml:space="preserve"> - </w:t>
            </w:r>
            <w:r w:rsidRPr="00E505EA">
              <w:rPr>
                <w:rFonts w:ascii="Times New Roman" w:eastAsia="標楷體" w:hAnsi="Times New Roman" w:hint="eastAsia"/>
                <w:i w:val="0"/>
                <w:iCs w:val="0"/>
              </w:rPr>
              <w:t>10</w:t>
            </w:r>
            <w:r w:rsidRPr="00E505EA">
              <w:rPr>
                <w:rFonts w:ascii="Times New Roman" w:eastAsia="標楷體" w:hAnsi="Times New Roman"/>
                <w:i w:val="0"/>
                <w:iCs w:val="0"/>
              </w:rPr>
              <w:t>:</w:t>
            </w:r>
            <w:r w:rsidRPr="00E505EA">
              <w:rPr>
                <w:rFonts w:ascii="Times New Roman" w:eastAsia="標楷體" w:hAnsi="Times New Roman" w:hint="eastAsia"/>
                <w:i w:val="0"/>
                <w:iCs w:val="0"/>
              </w:rPr>
              <w:t>00</w:t>
            </w:r>
          </w:p>
        </w:tc>
        <w:tc>
          <w:tcPr>
            <w:tcW w:w="8764" w:type="dxa"/>
            <w:gridSpan w:val="3"/>
            <w:tcBorders>
              <w:right w:val="thickThinSmallGap" w:sz="24" w:space="0" w:color="auto"/>
            </w:tcBorders>
            <w:shd w:val="clear" w:color="auto" w:fill="auto"/>
            <w:vAlign w:val="center"/>
          </w:tcPr>
          <w:p w14:paraId="70BEF919"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Times New Roman" w:eastAsia="標楷體" w:hAnsi="Times New Roman"/>
              </w:rPr>
              <w:t>Registration</w:t>
            </w:r>
          </w:p>
        </w:tc>
      </w:tr>
      <w:tr w:rsidR="009B3CEA" w:rsidRPr="00361084" w14:paraId="177D996F" w14:textId="77777777" w:rsidTr="008C46A2">
        <w:trPr>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hideMark/>
          </w:tcPr>
          <w:p w14:paraId="33B8AF73"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10:00 - 11:00</w:t>
            </w:r>
          </w:p>
        </w:tc>
        <w:tc>
          <w:tcPr>
            <w:tcW w:w="3706" w:type="dxa"/>
            <w:vAlign w:val="center"/>
            <w:hideMark/>
          </w:tcPr>
          <w:p w14:paraId="4F2F8C11"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color w:val="auto"/>
              </w:rPr>
              <w:t>學會核心主題 (I)</w:t>
            </w:r>
          </w:p>
        </w:tc>
        <w:tc>
          <w:tcPr>
            <w:tcW w:w="2552" w:type="dxa"/>
            <w:tcBorders>
              <w:right w:val="single" w:sz="4" w:space="0" w:color="auto"/>
            </w:tcBorders>
            <w:vAlign w:val="center"/>
            <w:hideMark/>
          </w:tcPr>
          <w:p w14:paraId="6E1D5857"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color w:val="auto"/>
              </w:rPr>
              <w:t>學會外派講師 A</w:t>
            </w:r>
          </w:p>
        </w:tc>
        <w:tc>
          <w:tcPr>
            <w:tcW w:w="2506" w:type="dxa"/>
            <w:tcBorders>
              <w:left w:val="single" w:sz="4" w:space="0" w:color="auto"/>
              <w:right w:val="thickThinSmallGap" w:sz="24" w:space="0" w:color="auto"/>
            </w:tcBorders>
            <w:vAlign w:val="center"/>
            <w:hideMark/>
          </w:tcPr>
          <w:p w14:paraId="76D2FE95" w14:textId="77777777" w:rsidR="009B3CEA" w:rsidRPr="00E505EA" w:rsidRDefault="009B3CEA" w:rsidP="008C46A2">
            <w:pPr>
              <w:spacing w:line="320" w:lineRule="atLeast"/>
              <w:contextualSpacing/>
              <w:mirrorIndents/>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color w:val="auto"/>
              </w:rPr>
              <w:t>依外傷學會官方規範授課。</w:t>
            </w:r>
          </w:p>
        </w:tc>
      </w:tr>
      <w:tr w:rsidR="009B3CEA" w:rsidRPr="00361084" w14:paraId="7695F62F" w14:textId="77777777" w:rsidTr="008C46A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hideMark/>
          </w:tcPr>
          <w:p w14:paraId="4874022D"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11:00 - 12:00</w:t>
            </w:r>
          </w:p>
        </w:tc>
        <w:tc>
          <w:tcPr>
            <w:tcW w:w="3706" w:type="dxa"/>
            <w:shd w:val="clear" w:color="auto" w:fill="auto"/>
            <w:vAlign w:val="center"/>
            <w:hideMark/>
          </w:tcPr>
          <w:p w14:paraId="258463CC"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學會核心主題 (II)</w:t>
            </w:r>
          </w:p>
        </w:tc>
        <w:tc>
          <w:tcPr>
            <w:tcW w:w="2552" w:type="dxa"/>
            <w:tcBorders>
              <w:right w:val="single" w:sz="4" w:space="0" w:color="auto"/>
            </w:tcBorders>
            <w:shd w:val="clear" w:color="auto" w:fill="auto"/>
            <w:vAlign w:val="center"/>
            <w:hideMark/>
          </w:tcPr>
          <w:p w14:paraId="62F54EB7"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學會外派講師 B</w:t>
            </w:r>
          </w:p>
        </w:tc>
        <w:tc>
          <w:tcPr>
            <w:tcW w:w="2506" w:type="dxa"/>
            <w:tcBorders>
              <w:left w:val="single" w:sz="4" w:space="0" w:color="auto"/>
              <w:right w:val="thickThinSmallGap" w:sz="24" w:space="0" w:color="auto"/>
            </w:tcBorders>
            <w:shd w:val="clear" w:color="auto" w:fill="auto"/>
            <w:vAlign w:val="center"/>
            <w:hideMark/>
          </w:tcPr>
          <w:p w14:paraId="77D9B8DD" w14:textId="77777777" w:rsidR="009B3CEA" w:rsidRPr="00E505EA" w:rsidRDefault="009B3CEA" w:rsidP="008C46A2">
            <w:pPr>
              <w:spacing w:line="320" w:lineRule="atLeast"/>
              <w:contextualSpacing/>
              <w:mirrorIndents/>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依外傷學會官方規範授課。</w:t>
            </w:r>
          </w:p>
        </w:tc>
      </w:tr>
      <w:tr w:rsidR="009B3CEA" w:rsidRPr="00361084" w14:paraId="35CBBD11" w14:textId="77777777" w:rsidTr="008C46A2">
        <w:trPr>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bottom w:val="thickThinSmallGap" w:sz="24" w:space="0" w:color="auto"/>
            </w:tcBorders>
            <w:shd w:val="clear" w:color="auto" w:fill="auto"/>
            <w:vAlign w:val="center"/>
            <w:hideMark/>
          </w:tcPr>
          <w:p w14:paraId="72126BAC"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12:00 - 13:00</w:t>
            </w:r>
          </w:p>
        </w:tc>
        <w:tc>
          <w:tcPr>
            <w:tcW w:w="8764" w:type="dxa"/>
            <w:gridSpan w:val="3"/>
            <w:tcBorders>
              <w:bottom w:val="thickThinSmallGap" w:sz="24" w:space="0" w:color="auto"/>
              <w:right w:val="thickThinSmallGap" w:sz="24" w:space="0" w:color="auto"/>
            </w:tcBorders>
            <w:vAlign w:val="center"/>
            <w:hideMark/>
          </w:tcPr>
          <w:p w14:paraId="47B99667"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Segoe UI Emoji" w:eastAsia="標楷體" w:hAnsi="Segoe UI Emoji" w:cs="Segoe UI Emoji"/>
                <w:color w:val="auto"/>
              </w:rPr>
              <w:t>🍱</w:t>
            </w:r>
            <w:r w:rsidRPr="00E505EA">
              <w:rPr>
                <w:rFonts w:ascii="標楷體" w:eastAsia="標楷體" w:hAnsi="標楷體" w:hint="eastAsia"/>
              </w:rPr>
              <w:t xml:space="preserve"> Lunch Time</w:t>
            </w:r>
          </w:p>
        </w:tc>
      </w:tr>
      <w:tr w:rsidR="009B3CEA" w:rsidRPr="00361084" w14:paraId="38E308AF" w14:textId="77777777" w:rsidTr="008C46A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tcPr>
          <w:p w14:paraId="6421123C"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13:00 - 14:00</w:t>
            </w:r>
          </w:p>
        </w:tc>
        <w:tc>
          <w:tcPr>
            <w:tcW w:w="3706" w:type="dxa"/>
            <w:shd w:val="clear" w:color="auto" w:fill="auto"/>
            <w:vAlign w:val="center"/>
          </w:tcPr>
          <w:p w14:paraId="63C57890"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外傷病人的輸血治療</w:t>
            </w:r>
          </w:p>
        </w:tc>
        <w:tc>
          <w:tcPr>
            <w:tcW w:w="2552" w:type="dxa"/>
            <w:tcBorders>
              <w:right w:val="single" w:sz="4" w:space="0" w:color="auto"/>
            </w:tcBorders>
            <w:shd w:val="clear" w:color="auto" w:fill="auto"/>
            <w:vAlign w:val="center"/>
          </w:tcPr>
          <w:p w14:paraId="29AF1451" w14:textId="77777777" w:rsidR="009B3CEA" w:rsidRPr="00E505EA" w:rsidRDefault="009B3CEA" w:rsidP="008C46A2">
            <w:pPr>
              <w:pStyle w:v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theme="minorBidi"/>
                <w:color w:val="auto"/>
                <w:kern w:val="2"/>
                <w:szCs w:val="22"/>
              </w:rPr>
            </w:pPr>
            <w:r w:rsidRPr="00E505EA">
              <w:rPr>
                <w:rFonts w:ascii="標楷體" w:eastAsia="標楷體" w:hAnsi="標楷體" w:cstheme="minorBidi"/>
                <w:color w:val="auto"/>
                <w:kern w:val="2"/>
                <w:szCs w:val="22"/>
              </w:rPr>
              <w:t>蔡欣怡</w:t>
            </w:r>
            <w:r>
              <w:rPr>
                <w:rFonts w:ascii="標楷體" w:eastAsia="標楷體" w:hAnsi="標楷體" w:cstheme="minorBidi" w:hint="eastAsia"/>
                <w:color w:val="auto"/>
                <w:kern w:val="2"/>
                <w:szCs w:val="22"/>
              </w:rPr>
              <w:t xml:space="preserve"> </w:t>
            </w:r>
            <w:r w:rsidRPr="00E505EA">
              <w:rPr>
                <w:rFonts w:ascii="標楷體" w:eastAsia="標楷體" w:hAnsi="標楷體" w:cstheme="minorBidi"/>
                <w:color w:val="auto"/>
                <w:kern w:val="2"/>
                <w:szCs w:val="22"/>
              </w:rPr>
              <w:t>主治醫師</w:t>
            </w:r>
          </w:p>
          <w:p w14:paraId="3CAB1F66"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(馬偕紀念醫院)</w:t>
            </w:r>
          </w:p>
        </w:tc>
        <w:tc>
          <w:tcPr>
            <w:tcW w:w="2506" w:type="dxa"/>
            <w:tcBorders>
              <w:left w:val="single" w:sz="4" w:space="0" w:color="auto"/>
              <w:right w:val="thickThinSmallGap" w:sz="24" w:space="0" w:color="auto"/>
            </w:tcBorders>
            <w:shd w:val="clear" w:color="auto" w:fill="auto"/>
            <w:vAlign w:val="center"/>
          </w:tcPr>
          <w:p w14:paraId="0BE059D5" w14:textId="77777777" w:rsidR="009B3CEA" w:rsidRPr="00E505EA" w:rsidRDefault="009B3CEA" w:rsidP="008C46A2">
            <w:pPr>
              <w:spacing w:line="320" w:lineRule="atLeast"/>
              <w:contextualSpacing/>
              <w:mirrorIndents/>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大量輸血協議 (MTP)、凝血功能校正。</w:t>
            </w:r>
          </w:p>
        </w:tc>
      </w:tr>
      <w:tr w:rsidR="009B3CEA" w:rsidRPr="00361084" w14:paraId="00BAC3C7" w14:textId="77777777" w:rsidTr="008C46A2">
        <w:trPr>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tcPr>
          <w:p w14:paraId="78D10646"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14:00 - 15:00</w:t>
            </w:r>
          </w:p>
        </w:tc>
        <w:tc>
          <w:tcPr>
            <w:tcW w:w="3706" w:type="dxa"/>
            <w:vAlign w:val="center"/>
          </w:tcPr>
          <w:p w14:paraId="05EAB06E"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color w:val="auto"/>
              </w:rPr>
              <w:t>從急診至出院：創傷後社會支持</w:t>
            </w:r>
          </w:p>
        </w:tc>
        <w:tc>
          <w:tcPr>
            <w:tcW w:w="2552" w:type="dxa"/>
            <w:tcBorders>
              <w:right w:val="single" w:sz="4" w:space="0" w:color="auto"/>
            </w:tcBorders>
            <w:vAlign w:val="center"/>
          </w:tcPr>
          <w:p w14:paraId="177F2F53" w14:textId="77777777" w:rsidR="009B3CEA" w:rsidRPr="00E505EA" w:rsidRDefault="009B3CEA" w:rsidP="008C46A2">
            <w:pPr>
              <w:pStyle w:v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color w:val="auto"/>
                <w:kern w:val="2"/>
                <w:szCs w:val="22"/>
              </w:rPr>
            </w:pPr>
            <w:r w:rsidRPr="00E505EA">
              <w:rPr>
                <w:rFonts w:ascii="標楷體" w:eastAsia="標楷體" w:hAnsi="標楷體" w:cstheme="minorBidi"/>
                <w:color w:val="auto"/>
                <w:kern w:val="2"/>
                <w:szCs w:val="22"/>
              </w:rPr>
              <w:t>吳震威 社工</w:t>
            </w:r>
          </w:p>
          <w:p w14:paraId="054741F2"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color w:val="auto"/>
              </w:rPr>
              <w:t>(萬芳醫院)</w:t>
            </w:r>
          </w:p>
        </w:tc>
        <w:tc>
          <w:tcPr>
            <w:tcW w:w="2506" w:type="dxa"/>
            <w:tcBorders>
              <w:left w:val="single" w:sz="4" w:space="0" w:color="auto"/>
              <w:right w:val="thickThinSmallGap" w:sz="24" w:space="0" w:color="auto"/>
            </w:tcBorders>
            <w:vAlign w:val="center"/>
          </w:tcPr>
          <w:p w14:paraId="19B99CA2" w14:textId="77777777" w:rsidR="009B3CEA" w:rsidRPr="00E505EA" w:rsidRDefault="009B3CEA" w:rsidP="008C46A2">
            <w:pPr>
              <w:spacing w:line="320" w:lineRule="atLeast"/>
              <w:contextualSpacing/>
              <w:mirrorIndents/>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color w:val="auto"/>
              </w:rPr>
              <w:t>社會資源轉</w:t>
            </w:r>
            <w:proofErr w:type="gramStart"/>
            <w:r w:rsidRPr="00E505EA">
              <w:rPr>
                <w:rFonts w:ascii="標楷體" w:eastAsia="標楷體" w:hAnsi="標楷體"/>
                <w:color w:val="auto"/>
              </w:rPr>
              <w:t>介</w:t>
            </w:r>
            <w:proofErr w:type="gramEnd"/>
            <w:r w:rsidRPr="00E505EA">
              <w:rPr>
                <w:rFonts w:ascii="標楷體" w:eastAsia="標楷體" w:hAnsi="標楷體"/>
                <w:color w:val="auto"/>
              </w:rPr>
              <w:t>、出院跨團隊照護。</w:t>
            </w:r>
          </w:p>
        </w:tc>
      </w:tr>
      <w:tr w:rsidR="009B3CEA" w:rsidRPr="00361084" w14:paraId="4327466E" w14:textId="77777777" w:rsidTr="008C46A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tcPr>
          <w:p w14:paraId="17F5635D"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15:00 - 15:10</w:t>
            </w:r>
          </w:p>
        </w:tc>
        <w:tc>
          <w:tcPr>
            <w:tcW w:w="8764" w:type="dxa"/>
            <w:gridSpan w:val="3"/>
            <w:tcBorders>
              <w:right w:val="thickThinSmallGap" w:sz="24" w:space="0" w:color="auto"/>
            </w:tcBorders>
            <w:shd w:val="clear" w:color="auto" w:fill="auto"/>
            <w:vAlign w:val="center"/>
          </w:tcPr>
          <w:p w14:paraId="3BF1B7DC"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Segoe UI Emoji" w:eastAsia="標楷體" w:hAnsi="Segoe UI Emoji" w:cs="Segoe UI Emoji"/>
                <w:color w:val="auto"/>
              </w:rPr>
              <w:t>☕</w:t>
            </w:r>
            <w:r w:rsidRPr="00E505EA">
              <w:rPr>
                <w:rFonts w:ascii="標楷體" w:eastAsia="標楷體" w:hAnsi="標楷體"/>
                <w:color w:val="auto"/>
              </w:rPr>
              <w:t xml:space="preserve"> </w:t>
            </w:r>
            <w:r w:rsidRPr="00E505EA">
              <w:rPr>
                <w:rFonts w:ascii="標楷體" w:eastAsia="標楷體" w:hAnsi="標楷體" w:hint="eastAsia"/>
              </w:rPr>
              <w:t>Break</w:t>
            </w:r>
          </w:p>
        </w:tc>
      </w:tr>
      <w:tr w:rsidR="009B3CEA" w:rsidRPr="00361084" w14:paraId="7230ABB0" w14:textId="77777777" w:rsidTr="008C46A2">
        <w:trPr>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tcPr>
          <w:p w14:paraId="54C5C17A"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15:10 - 16:10</w:t>
            </w:r>
          </w:p>
        </w:tc>
        <w:tc>
          <w:tcPr>
            <w:tcW w:w="3706" w:type="dxa"/>
            <w:vAlign w:val="center"/>
          </w:tcPr>
          <w:p w14:paraId="419C4527"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7C3AC5">
              <w:rPr>
                <w:rFonts w:ascii="標楷體" w:eastAsia="標楷體" w:hAnsi="標楷體"/>
                <w:color w:val="auto"/>
              </w:rPr>
              <w:t>外傷病人早期評估與病情惡化辨識</w:t>
            </w:r>
          </w:p>
        </w:tc>
        <w:tc>
          <w:tcPr>
            <w:tcW w:w="2552" w:type="dxa"/>
            <w:tcBorders>
              <w:right w:val="single" w:sz="4" w:space="0" w:color="auto"/>
            </w:tcBorders>
            <w:vAlign w:val="center"/>
          </w:tcPr>
          <w:p w14:paraId="2315CF39" w14:textId="77777777" w:rsidR="009B3CEA" w:rsidRPr="007C3AC5" w:rsidRDefault="009B3CEA" w:rsidP="008C46A2">
            <w:pPr>
              <w:pStyle w:v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stheme="minorBidi"/>
                <w:kern w:val="2"/>
                <w:szCs w:val="22"/>
              </w:rPr>
            </w:pPr>
            <w:r w:rsidRPr="007C3AC5">
              <w:rPr>
                <w:rFonts w:ascii="標楷體" w:eastAsia="標楷體" w:hAnsi="標楷體" w:cstheme="minorBidi" w:hint="eastAsia"/>
                <w:kern w:val="2"/>
                <w:szCs w:val="22"/>
              </w:rPr>
              <w:t>鄭貽尹護理長</w:t>
            </w:r>
          </w:p>
          <w:p w14:paraId="16BB8052" w14:textId="77777777" w:rsidR="009B3CEA" w:rsidRPr="008F5EF1"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color w:val="4472C4" w:themeColor="accent1"/>
              </w:rPr>
            </w:pPr>
            <w:r w:rsidRPr="007C3AC5">
              <w:rPr>
                <w:rFonts w:ascii="標楷體" w:eastAsia="標楷體" w:hAnsi="標楷體"/>
              </w:rPr>
              <w:t>(</w:t>
            </w:r>
            <w:proofErr w:type="gramStart"/>
            <w:r w:rsidRPr="007C3AC5">
              <w:rPr>
                <w:rFonts w:ascii="標楷體" w:eastAsia="標楷體" w:hAnsi="標楷體" w:hint="eastAsia"/>
              </w:rPr>
              <w:t>聯新國際</w:t>
            </w:r>
            <w:proofErr w:type="gramEnd"/>
            <w:r w:rsidRPr="007C3AC5">
              <w:rPr>
                <w:rFonts w:ascii="標楷體" w:eastAsia="標楷體" w:hAnsi="標楷體"/>
              </w:rPr>
              <w:t>醫院)</w:t>
            </w:r>
          </w:p>
        </w:tc>
        <w:tc>
          <w:tcPr>
            <w:tcW w:w="2506" w:type="dxa"/>
            <w:tcBorders>
              <w:left w:val="single" w:sz="4" w:space="0" w:color="auto"/>
              <w:right w:val="thickThinSmallGap" w:sz="24" w:space="0" w:color="auto"/>
            </w:tcBorders>
            <w:vAlign w:val="center"/>
          </w:tcPr>
          <w:p w14:paraId="32368FA0" w14:textId="77777777" w:rsidR="009B3CEA" w:rsidRPr="00E505EA" w:rsidRDefault="009B3CEA" w:rsidP="008C46A2">
            <w:pPr>
              <w:spacing w:line="320" w:lineRule="atLeast"/>
              <w:contextualSpacing/>
              <w:mirrorIndents/>
              <w:jc w:val="both"/>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Pr>
                <w:rFonts w:ascii="標楷體" w:eastAsia="標楷體" w:hAnsi="標楷體" w:hint="eastAsia"/>
                <w:color w:val="auto"/>
              </w:rPr>
              <w:t>外傷病人身體評估以發現變化盡早治療</w:t>
            </w:r>
            <w:r w:rsidRPr="00E505EA">
              <w:rPr>
                <w:rFonts w:ascii="標楷體" w:eastAsia="標楷體" w:hAnsi="標楷體"/>
                <w:color w:val="auto"/>
              </w:rPr>
              <w:t>。</w:t>
            </w:r>
          </w:p>
        </w:tc>
      </w:tr>
      <w:tr w:rsidR="009B3CEA" w:rsidRPr="00361084" w14:paraId="0EDF70D1" w14:textId="77777777" w:rsidTr="008C46A2">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tcBorders>
            <w:shd w:val="clear" w:color="auto" w:fill="auto"/>
            <w:vAlign w:val="center"/>
          </w:tcPr>
          <w:p w14:paraId="5037727A"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16:10 - 17:00</w:t>
            </w:r>
          </w:p>
        </w:tc>
        <w:tc>
          <w:tcPr>
            <w:tcW w:w="3706" w:type="dxa"/>
            <w:shd w:val="clear" w:color="auto" w:fill="auto"/>
            <w:vAlign w:val="center"/>
          </w:tcPr>
          <w:p w14:paraId="7A2F8FC1"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創傷後壓力症候群之照護</w:t>
            </w:r>
          </w:p>
        </w:tc>
        <w:tc>
          <w:tcPr>
            <w:tcW w:w="2552" w:type="dxa"/>
            <w:tcBorders>
              <w:right w:val="single" w:sz="4" w:space="0" w:color="auto"/>
            </w:tcBorders>
            <w:shd w:val="clear" w:color="auto" w:fill="auto"/>
            <w:vAlign w:val="center"/>
          </w:tcPr>
          <w:p w14:paraId="0DAACC5D" w14:textId="77777777" w:rsidR="009B3CEA" w:rsidRPr="00E505EA" w:rsidRDefault="009B3CEA" w:rsidP="008C46A2">
            <w:pPr>
              <w:pStyle w:v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cstheme="minorBidi"/>
                <w:color w:val="auto"/>
                <w:kern w:val="2"/>
                <w:szCs w:val="22"/>
              </w:rPr>
            </w:pPr>
            <w:r w:rsidRPr="00E505EA">
              <w:rPr>
                <w:rFonts w:ascii="標楷體" w:eastAsia="標楷體" w:hAnsi="標楷體" w:cstheme="minorBidi"/>
                <w:color w:val="auto"/>
                <w:kern w:val="2"/>
                <w:szCs w:val="22"/>
              </w:rPr>
              <w:t>林承儒 主治醫師</w:t>
            </w:r>
          </w:p>
          <w:p w14:paraId="6C6EB8F7" w14:textId="77777777" w:rsidR="009B3CEA" w:rsidRPr="00E505EA" w:rsidRDefault="009B3CEA" w:rsidP="008C46A2">
            <w:pPr>
              <w:spacing w:line="320" w:lineRule="atLeast"/>
              <w:contextualSpacing/>
              <w:mirrorIndents/>
              <w:jc w:val="center"/>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(馬偕紀念醫院)</w:t>
            </w:r>
          </w:p>
        </w:tc>
        <w:tc>
          <w:tcPr>
            <w:tcW w:w="2506" w:type="dxa"/>
            <w:tcBorders>
              <w:left w:val="single" w:sz="4" w:space="0" w:color="auto"/>
              <w:right w:val="thickThinSmallGap" w:sz="24" w:space="0" w:color="auto"/>
            </w:tcBorders>
            <w:shd w:val="clear" w:color="auto" w:fill="auto"/>
            <w:vAlign w:val="center"/>
          </w:tcPr>
          <w:p w14:paraId="6EBAC9DF" w14:textId="77777777" w:rsidR="009B3CEA" w:rsidRPr="00E505EA" w:rsidRDefault="009B3CEA" w:rsidP="008C46A2">
            <w:pPr>
              <w:spacing w:line="320" w:lineRule="atLeast"/>
              <w:contextualSpacing/>
              <w:mirrorIndents/>
              <w:jc w:val="both"/>
              <w:cnfStyle w:val="000000100000" w:firstRow="0" w:lastRow="0" w:firstColumn="0" w:lastColumn="0" w:oddVBand="0" w:evenVBand="0" w:oddHBand="1" w:evenHBand="0" w:firstRowFirstColumn="0" w:firstRowLastColumn="0" w:lastRowFirstColumn="0" w:lastRowLastColumn="0"/>
              <w:rPr>
                <w:rFonts w:ascii="標楷體" w:eastAsia="標楷體" w:hAnsi="標楷體"/>
              </w:rPr>
            </w:pPr>
            <w:r w:rsidRPr="00E505EA">
              <w:rPr>
                <w:rFonts w:ascii="標楷體" w:eastAsia="標楷體" w:hAnsi="標楷體"/>
                <w:color w:val="auto"/>
              </w:rPr>
              <w:t>早期心理干預、PTSD 症狀辨識。</w:t>
            </w:r>
          </w:p>
        </w:tc>
      </w:tr>
      <w:tr w:rsidR="009B3CEA" w:rsidRPr="00361084" w14:paraId="4A335030" w14:textId="77777777" w:rsidTr="008C46A2">
        <w:trPr>
          <w:trHeight w:val="720"/>
        </w:trPr>
        <w:tc>
          <w:tcPr>
            <w:cnfStyle w:val="001000000000" w:firstRow="0" w:lastRow="0" w:firstColumn="1" w:lastColumn="0" w:oddVBand="0" w:evenVBand="0" w:oddHBand="0" w:evenHBand="0" w:firstRowFirstColumn="0" w:firstRowLastColumn="0" w:lastRowFirstColumn="0" w:lastRowLastColumn="0"/>
            <w:tcW w:w="2061" w:type="dxa"/>
            <w:tcBorders>
              <w:left w:val="thinThickSmallGap" w:sz="24" w:space="0" w:color="auto"/>
              <w:bottom w:val="thickThinSmallGap" w:sz="24" w:space="0" w:color="auto"/>
            </w:tcBorders>
            <w:shd w:val="clear" w:color="auto" w:fill="auto"/>
            <w:vAlign w:val="center"/>
          </w:tcPr>
          <w:p w14:paraId="2CF7BEB2" w14:textId="77777777" w:rsidR="009B3CEA" w:rsidRPr="00E505EA" w:rsidRDefault="009B3CEA" w:rsidP="008C46A2">
            <w:pPr>
              <w:spacing w:line="320" w:lineRule="atLeast"/>
              <w:contextualSpacing/>
              <w:mirrorIndents/>
              <w:jc w:val="center"/>
              <w:rPr>
                <w:rFonts w:ascii="標楷體" w:eastAsia="標楷體" w:hAnsi="標楷體"/>
                <w:i w:val="0"/>
                <w:iCs w:val="0"/>
              </w:rPr>
            </w:pPr>
            <w:r w:rsidRPr="00E505EA">
              <w:rPr>
                <w:rFonts w:ascii="標楷體" w:eastAsia="標楷體" w:hAnsi="標楷體"/>
                <w:i w:val="0"/>
                <w:iCs w:val="0"/>
                <w:color w:val="auto"/>
              </w:rPr>
              <w:t>1</w:t>
            </w:r>
            <w:r w:rsidRPr="00E505EA">
              <w:rPr>
                <w:rFonts w:ascii="標楷體" w:eastAsia="標楷體" w:hAnsi="標楷體" w:hint="eastAsia"/>
                <w:i w:val="0"/>
                <w:iCs w:val="0"/>
                <w:color w:val="auto"/>
              </w:rPr>
              <w:t>7</w:t>
            </w:r>
            <w:r w:rsidRPr="00E505EA">
              <w:rPr>
                <w:rFonts w:ascii="標楷體" w:eastAsia="標楷體" w:hAnsi="標楷體"/>
                <w:i w:val="0"/>
                <w:iCs w:val="0"/>
                <w:color w:val="auto"/>
              </w:rPr>
              <w:t>:</w:t>
            </w:r>
            <w:r w:rsidRPr="00E505EA">
              <w:rPr>
                <w:rFonts w:ascii="標楷體" w:eastAsia="標楷體" w:hAnsi="標楷體" w:hint="eastAsia"/>
                <w:i w:val="0"/>
                <w:iCs w:val="0"/>
                <w:color w:val="auto"/>
              </w:rPr>
              <w:t>00</w:t>
            </w:r>
          </w:p>
        </w:tc>
        <w:tc>
          <w:tcPr>
            <w:tcW w:w="8764" w:type="dxa"/>
            <w:gridSpan w:val="3"/>
            <w:tcBorders>
              <w:bottom w:val="thickThinSmallGap" w:sz="24" w:space="0" w:color="auto"/>
              <w:right w:val="thickThinSmallGap" w:sz="24" w:space="0" w:color="auto"/>
            </w:tcBorders>
            <w:vAlign w:val="center"/>
          </w:tcPr>
          <w:p w14:paraId="375B720E" w14:textId="77777777" w:rsidR="009B3CEA" w:rsidRPr="00E505EA" w:rsidRDefault="009B3CEA" w:rsidP="008C46A2">
            <w:pPr>
              <w:spacing w:line="320" w:lineRule="atLeast"/>
              <w:contextualSpacing/>
              <w:mirrorIndents/>
              <w:jc w:val="center"/>
              <w:cnfStyle w:val="000000000000" w:firstRow="0" w:lastRow="0" w:firstColumn="0" w:lastColumn="0" w:oddVBand="0" w:evenVBand="0" w:oddHBand="0" w:evenHBand="0" w:firstRowFirstColumn="0" w:firstRowLastColumn="0" w:lastRowFirstColumn="0" w:lastRowLastColumn="0"/>
              <w:rPr>
                <w:rFonts w:ascii="標楷體" w:eastAsia="標楷體" w:hAnsi="標楷體"/>
              </w:rPr>
            </w:pPr>
            <w:r w:rsidRPr="00E505EA">
              <w:rPr>
                <w:rFonts w:ascii="標楷體" w:eastAsia="標楷體" w:hAnsi="標楷體" w:hint="eastAsia"/>
              </w:rPr>
              <w:t>賦歸</w:t>
            </w:r>
          </w:p>
        </w:tc>
      </w:tr>
    </w:tbl>
    <w:p w14:paraId="475AA90D" w14:textId="2AF7F51B" w:rsidR="00CA5EC6" w:rsidRPr="00C17B32" w:rsidRDefault="00CA5EC6" w:rsidP="00CA5EC6">
      <w:pPr>
        <w:spacing w:line="360" w:lineRule="auto"/>
        <w:jc w:val="both"/>
        <w:rPr>
          <w:rFonts w:ascii="標楷體" w:eastAsia="標楷體" w:hAnsi="標楷體"/>
          <w:szCs w:val="24"/>
        </w:rPr>
      </w:pPr>
      <w:r w:rsidRPr="00C17B32">
        <w:rPr>
          <w:rFonts w:ascii="標楷體" w:eastAsia="標楷體" w:hAnsi="標楷體" w:hint="eastAsia"/>
          <w:szCs w:val="24"/>
        </w:rPr>
        <w:t>十</w:t>
      </w:r>
      <w:r w:rsidR="00721876" w:rsidRPr="00C17B32">
        <w:rPr>
          <w:rFonts w:ascii="標楷體" w:eastAsia="標楷體" w:hAnsi="標楷體" w:hint="eastAsia"/>
          <w:szCs w:val="24"/>
        </w:rPr>
        <w:t>一</w:t>
      </w:r>
      <w:r w:rsidRPr="00C17B32">
        <w:rPr>
          <w:rFonts w:ascii="標楷體" w:eastAsia="標楷體" w:hAnsi="標楷體" w:hint="eastAsia"/>
          <w:szCs w:val="24"/>
        </w:rPr>
        <w:t>、</w:t>
      </w:r>
      <w:r w:rsidRPr="00C17B32">
        <w:rPr>
          <w:rFonts w:ascii="標楷體" w:eastAsia="標楷體" w:hAnsi="標楷體"/>
          <w:b/>
          <w:bCs/>
          <w:color w:val="000000" w:themeColor="text1"/>
          <w:szCs w:val="24"/>
        </w:rPr>
        <w:t>課程摘要</w:t>
      </w:r>
      <w:r w:rsidRPr="00C17B32">
        <w:rPr>
          <w:rFonts w:ascii="標楷體" w:eastAsia="標楷體" w:hAnsi="標楷體" w:hint="eastAsia"/>
          <w:szCs w:val="24"/>
        </w:rPr>
        <w:t>：</w:t>
      </w:r>
    </w:p>
    <w:p w14:paraId="5C043556" w14:textId="0B3690B8" w:rsidR="00CA5EC6" w:rsidRPr="00CA5EC6" w:rsidRDefault="00CA5EC6" w:rsidP="00CA5EC6">
      <w:pPr>
        <w:rPr>
          <w:rFonts w:ascii="標楷體" w:eastAsia="標楷體" w:hAnsi="標楷體"/>
          <w:b/>
          <w:bCs/>
          <w:sz w:val="20"/>
          <w:szCs w:val="18"/>
          <w:highlight w:val="lightGray"/>
        </w:rPr>
      </w:pPr>
      <w:r w:rsidRPr="00CA5EC6">
        <w:rPr>
          <w:rFonts w:ascii="標楷體" w:eastAsia="標楷體" w:hAnsi="標楷體"/>
          <w:b/>
          <w:bCs/>
          <w:sz w:val="20"/>
          <w:szCs w:val="18"/>
          <w:highlight w:val="lightGray"/>
        </w:rPr>
        <w:t>(</w:t>
      </w:r>
      <w:proofErr w:type="gramStart"/>
      <w:r w:rsidRPr="00CA5EC6">
        <w:rPr>
          <w:rFonts w:ascii="標楷體" w:eastAsia="標楷體" w:hAnsi="標楷體" w:hint="eastAsia"/>
          <w:b/>
          <w:bCs/>
          <w:sz w:val="20"/>
          <w:szCs w:val="18"/>
          <w:highlight w:val="lightGray"/>
        </w:rPr>
        <w:t>一</w:t>
      </w:r>
      <w:proofErr w:type="gramEnd"/>
      <w:r w:rsidRPr="00CA5EC6">
        <w:rPr>
          <w:rFonts w:ascii="標楷體" w:eastAsia="標楷體" w:hAnsi="標楷體"/>
          <w:b/>
          <w:bCs/>
          <w:sz w:val="20"/>
          <w:szCs w:val="18"/>
          <w:highlight w:val="lightGray"/>
        </w:rPr>
        <w:t>) 外傷病人的輸血治療</w:t>
      </w:r>
    </w:p>
    <w:p w14:paraId="287F0799" w14:textId="77777777"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外傷病人的輸血治療重點在於及早辨識出血性休克並迅速恢復循環穩定與凝血功能，而不是僅僅補充血紅素數值。依據Advanced Trauma Life Support的原則，當病人出現低血壓、</w:t>
      </w:r>
      <w:proofErr w:type="gramStart"/>
      <w:r w:rsidRPr="00CA5EC6">
        <w:rPr>
          <w:rFonts w:ascii="標楷體" w:eastAsia="標楷體" w:hAnsi="標楷體"/>
          <w:b/>
          <w:bCs/>
          <w:sz w:val="20"/>
          <w:szCs w:val="18"/>
        </w:rPr>
        <w:t>心搏過速</w:t>
      </w:r>
      <w:proofErr w:type="gramEnd"/>
      <w:r w:rsidRPr="00CA5EC6">
        <w:rPr>
          <w:rFonts w:ascii="標楷體" w:eastAsia="標楷體" w:hAnsi="標楷體"/>
          <w:b/>
          <w:bCs/>
          <w:sz w:val="20"/>
          <w:szCs w:val="18"/>
        </w:rPr>
        <w:t>、意識改變或</w:t>
      </w:r>
      <w:proofErr w:type="gramStart"/>
      <w:r w:rsidRPr="00CA5EC6">
        <w:rPr>
          <w:rFonts w:ascii="標楷體" w:eastAsia="標楷體" w:hAnsi="標楷體"/>
          <w:b/>
          <w:bCs/>
          <w:sz w:val="20"/>
          <w:szCs w:val="18"/>
        </w:rPr>
        <w:t>周邊灌流不良</w:t>
      </w:r>
      <w:proofErr w:type="gramEnd"/>
      <w:r w:rsidRPr="00CA5EC6">
        <w:rPr>
          <w:rFonts w:ascii="標楷體" w:eastAsia="標楷體" w:hAnsi="標楷體"/>
          <w:b/>
          <w:bCs/>
          <w:sz w:val="20"/>
          <w:szCs w:val="18"/>
        </w:rPr>
        <w:t>時，應優先考慮持續性出血並立即介入。現代觀念強調「損傷控制復甦」，主張限制大量晶體</w:t>
      </w:r>
      <w:proofErr w:type="gramStart"/>
      <w:r w:rsidRPr="00CA5EC6">
        <w:rPr>
          <w:rFonts w:ascii="標楷體" w:eastAsia="標楷體" w:hAnsi="標楷體"/>
          <w:b/>
          <w:bCs/>
          <w:sz w:val="20"/>
          <w:szCs w:val="18"/>
        </w:rPr>
        <w:t>液輸注</w:t>
      </w:r>
      <w:proofErr w:type="gramEnd"/>
      <w:r w:rsidRPr="00CA5EC6">
        <w:rPr>
          <w:rFonts w:ascii="標楷體" w:eastAsia="標楷體" w:hAnsi="標楷體"/>
          <w:b/>
          <w:bCs/>
          <w:sz w:val="20"/>
          <w:szCs w:val="18"/>
        </w:rPr>
        <w:t>，以避免</w:t>
      </w:r>
      <w:proofErr w:type="gramStart"/>
      <w:r w:rsidRPr="00CA5EC6">
        <w:rPr>
          <w:rFonts w:ascii="標楷體" w:eastAsia="標楷體" w:hAnsi="標楷體"/>
          <w:b/>
          <w:bCs/>
          <w:sz w:val="20"/>
          <w:szCs w:val="18"/>
        </w:rPr>
        <w:t>稀釋性凝血</w:t>
      </w:r>
      <w:proofErr w:type="gramEnd"/>
      <w:r w:rsidRPr="00CA5EC6">
        <w:rPr>
          <w:rFonts w:ascii="標楷體" w:eastAsia="標楷體" w:hAnsi="標楷體"/>
          <w:b/>
          <w:bCs/>
          <w:sz w:val="20"/>
          <w:szCs w:val="18"/>
        </w:rPr>
        <w:t>異常與組織水腫，同時及早使用血液製品來維持氧氣攜帶能力與凝血功能。</w:t>
      </w:r>
    </w:p>
    <w:p w14:paraId="2C534CE1" w14:textId="77777777"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當臨床判斷可能需要大量輸血時，應啟動大量輸血機制，透過紅血球、血漿與血小板以接近比例性的</w:t>
      </w:r>
      <w:proofErr w:type="gramStart"/>
      <w:r w:rsidRPr="00CA5EC6">
        <w:rPr>
          <w:rFonts w:ascii="標楷體" w:eastAsia="標楷體" w:hAnsi="標楷體"/>
          <w:b/>
          <w:bCs/>
          <w:sz w:val="20"/>
          <w:szCs w:val="18"/>
        </w:rPr>
        <w:t>方式輸注</w:t>
      </w:r>
      <w:proofErr w:type="gramEnd"/>
      <w:r w:rsidRPr="00CA5EC6">
        <w:rPr>
          <w:rFonts w:ascii="標楷體" w:eastAsia="標楷體" w:hAnsi="標楷體"/>
          <w:b/>
          <w:bCs/>
          <w:sz w:val="20"/>
          <w:szCs w:val="18"/>
        </w:rPr>
        <w:t>，以模擬</w:t>
      </w:r>
      <w:proofErr w:type="gramStart"/>
      <w:r w:rsidRPr="00CA5EC6">
        <w:rPr>
          <w:rFonts w:ascii="標楷體" w:eastAsia="標楷體" w:hAnsi="標楷體"/>
          <w:b/>
          <w:bCs/>
          <w:sz w:val="20"/>
          <w:szCs w:val="18"/>
        </w:rPr>
        <w:t>全血並降低</w:t>
      </w:r>
      <w:proofErr w:type="gramEnd"/>
      <w:r w:rsidRPr="00CA5EC6">
        <w:rPr>
          <w:rFonts w:ascii="標楷體" w:eastAsia="標楷體" w:hAnsi="標楷體"/>
          <w:b/>
          <w:bCs/>
          <w:sz w:val="20"/>
          <w:szCs w:val="18"/>
        </w:rPr>
        <w:t>凝血功能惡化的風險。這種平衡輸血策略有助於預防外傷相關的凝血病變，並改善存活率。在輸血過程中，應持續監測病人的血壓、尿量、乳酸以及凝血指標，並依據結果動態調整治療。若條件允許，</w:t>
      </w:r>
      <w:proofErr w:type="gramStart"/>
      <w:r w:rsidRPr="00CA5EC6">
        <w:rPr>
          <w:rFonts w:ascii="標楷體" w:eastAsia="標楷體" w:hAnsi="標楷體"/>
          <w:b/>
          <w:bCs/>
          <w:sz w:val="20"/>
          <w:szCs w:val="18"/>
        </w:rPr>
        <w:t>可輔以凝</w:t>
      </w:r>
      <w:proofErr w:type="gramEnd"/>
      <w:r w:rsidRPr="00CA5EC6">
        <w:rPr>
          <w:rFonts w:ascii="標楷體" w:eastAsia="標楷體" w:hAnsi="標楷體"/>
          <w:b/>
          <w:bCs/>
          <w:sz w:val="20"/>
          <w:szCs w:val="18"/>
        </w:rPr>
        <w:t>血功能檢測工具以更精</w:t>
      </w:r>
      <w:proofErr w:type="gramStart"/>
      <w:r w:rsidRPr="00CA5EC6">
        <w:rPr>
          <w:rFonts w:ascii="標楷體" w:eastAsia="標楷體" w:hAnsi="標楷體"/>
          <w:b/>
          <w:bCs/>
          <w:sz w:val="20"/>
          <w:szCs w:val="18"/>
        </w:rPr>
        <w:t>準</w:t>
      </w:r>
      <w:proofErr w:type="gramEnd"/>
      <w:r w:rsidRPr="00CA5EC6">
        <w:rPr>
          <w:rFonts w:ascii="標楷體" w:eastAsia="標楷體" w:hAnsi="標楷體"/>
          <w:b/>
          <w:bCs/>
          <w:sz w:val="20"/>
          <w:szCs w:val="18"/>
        </w:rPr>
        <w:t>地指導血品使用。</w:t>
      </w:r>
    </w:p>
    <w:p w14:paraId="12B9147B" w14:textId="77777777" w:rsidR="00CA5EC6" w:rsidRPr="00CA5EC6" w:rsidRDefault="00CA5EC6" w:rsidP="00CA5EC6">
      <w:pPr>
        <w:rPr>
          <w:rFonts w:ascii="標楷體" w:eastAsia="標楷體" w:hAnsi="標楷體"/>
          <w:sz w:val="20"/>
          <w:szCs w:val="18"/>
        </w:rPr>
      </w:pPr>
      <w:proofErr w:type="gramStart"/>
      <w:r w:rsidRPr="00CA5EC6">
        <w:rPr>
          <w:rFonts w:ascii="標楷體" w:eastAsia="標楷體" w:hAnsi="標楷體"/>
          <w:b/>
          <w:bCs/>
          <w:sz w:val="20"/>
          <w:szCs w:val="18"/>
        </w:rPr>
        <w:t>此外，</w:t>
      </w:r>
      <w:proofErr w:type="gramEnd"/>
      <w:r w:rsidRPr="00CA5EC6">
        <w:rPr>
          <w:rFonts w:ascii="標楷體" w:eastAsia="標楷體" w:hAnsi="標楷體"/>
          <w:b/>
          <w:bCs/>
          <w:sz w:val="20"/>
          <w:szCs w:val="18"/>
        </w:rPr>
        <w:t>外傷輸血治療也強調早期使用止血藥物，例如在受傷初期給予tranexamic acid可降低死亡率。整體治療同時需注意避免低體溫、酸中毒與凝血異常所形成的「致死三聯徵」，因此在輸血過程中應搭配保溫措施與適當的酸鹼平衡管理。最終，輸血只是復甦的一部分，仍需與外科止血、介入治療或其他控制出血的手段同步進行，才能有效改善外傷病人的預後。</w:t>
      </w:r>
    </w:p>
    <w:p w14:paraId="615363C3" w14:textId="77777777" w:rsidR="00CA5EC6" w:rsidRPr="00CA5EC6" w:rsidRDefault="00CA5EC6" w:rsidP="00CA5EC6">
      <w:pPr>
        <w:rPr>
          <w:rFonts w:ascii="標楷體" w:eastAsia="標楷體" w:hAnsi="標楷體"/>
          <w:b/>
          <w:bCs/>
          <w:sz w:val="20"/>
          <w:szCs w:val="18"/>
        </w:rPr>
      </w:pPr>
      <w:r w:rsidRPr="00CA5EC6">
        <w:rPr>
          <w:rFonts w:ascii="標楷體" w:eastAsia="標楷體" w:hAnsi="標楷體"/>
          <w:b/>
          <w:bCs/>
          <w:sz w:val="20"/>
          <w:szCs w:val="18"/>
          <w:highlight w:val="lightGray"/>
        </w:rPr>
        <w:t>(二)從急診至出院：創傷後社會支持</w:t>
      </w:r>
    </w:p>
    <w:p w14:paraId="572708B4" w14:textId="335FDA3F"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外傷事件往往突發且對病人及其家庭造成巨大衝擊。本課程由社工師視角出發，探討創傷病人從急診入院、急性期治療至出院準備各階段的心理社會評估與支持。內容涵蓋悲傷輔導、危機干預、跨團隊照護資源整合，以及各類社會資源（如經濟補</w:t>
      </w:r>
      <w:r w:rsidRPr="00CA5EC6">
        <w:rPr>
          <w:rFonts w:ascii="標楷體" w:eastAsia="標楷體" w:hAnsi="標楷體"/>
          <w:b/>
          <w:bCs/>
          <w:sz w:val="20"/>
          <w:szCs w:val="18"/>
        </w:rPr>
        <w:lastRenderedPageBreak/>
        <w:t>助、出院安置、長照資源）的轉</w:t>
      </w:r>
      <w:proofErr w:type="gramStart"/>
      <w:r w:rsidRPr="00CA5EC6">
        <w:rPr>
          <w:rFonts w:ascii="標楷體" w:eastAsia="標楷體" w:hAnsi="標楷體"/>
          <w:b/>
          <w:bCs/>
          <w:sz w:val="20"/>
          <w:szCs w:val="18"/>
        </w:rPr>
        <w:t>介</w:t>
      </w:r>
      <w:proofErr w:type="gramEnd"/>
      <w:r w:rsidRPr="00CA5EC6">
        <w:rPr>
          <w:rFonts w:ascii="標楷體" w:eastAsia="標楷體" w:hAnsi="標楷體"/>
          <w:b/>
          <w:bCs/>
          <w:sz w:val="20"/>
          <w:szCs w:val="18"/>
        </w:rPr>
        <w:t>機制，旨在協助外傷病人與家屬重建支持系統，提升出院後的照護連續性。</w:t>
      </w:r>
    </w:p>
    <w:p w14:paraId="0F85CB91" w14:textId="77777777" w:rsidR="00CA5EC6" w:rsidRPr="00CA5EC6" w:rsidRDefault="00CA5EC6" w:rsidP="00CA5EC6">
      <w:pPr>
        <w:rPr>
          <w:rFonts w:ascii="標楷體" w:eastAsia="標楷體" w:hAnsi="標楷體"/>
          <w:b/>
          <w:bCs/>
          <w:sz w:val="20"/>
          <w:szCs w:val="18"/>
        </w:rPr>
      </w:pPr>
      <w:r w:rsidRPr="00CA5EC6">
        <w:rPr>
          <w:rFonts w:ascii="標楷體" w:eastAsia="標楷體" w:hAnsi="標楷體"/>
          <w:b/>
          <w:bCs/>
          <w:sz w:val="20"/>
          <w:szCs w:val="18"/>
          <w:highlight w:val="lightGray"/>
        </w:rPr>
        <w:t>(</w:t>
      </w:r>
      <w:r w:rsidRPr="00CA5EC6">
        <w:rPr>
          <w:rFonts w:ascii="標楷體" w:eastAsia="標楷體" w:hAnsi="標楷體" w:hint="eastAsia"/>
          <w:b/>
          <w:bCs/>
          <w:sz w:val="20"/>
          <w:szCs w:val="18"/>
          <w:highlight w:val="lightGray"/>
        </w:rPr>
        <w:t>三</w:t>
      </w:r>
      <w:r w:rsidRPr="00CA5EC6">
        <w:rPr>
          <w:rFonts w:ascii="標楷體" w:eastAsia="標楷體" w:hAnsi="標楷體"/>
          <w:b/>
          <w:bCs/>
          <w:sz w:val="20"/>
          <w:szCs w:val="18"/>
          <w:highlight w:val="lightGray"/>
        </w:rPr>
        <w:t>) 外傷病人早期評估與病情惡化辨識</w:t>
      </w:r>
    </w:p>
    <w:p w14:paraId="1ADF3BEA" w14:textId="7F446725"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外傷病人的病情變化迅速，及時辨識潛在惡化徵兆是降低死亡率的關鍵。本課程著重於臨床護理評估實務，講授如何系統性運用早期預警評分（如 NEWS 或 MEWS）與身體評估技巧，敏銳察覺外傷病人（如內出血、休克、呼吸抑制等）的早期生理指標異常。透過臨床案例分析，提升第一線醫護人員對於病情惡化的敏感度，以利及早介入處置與啟動醫療團隊。</w:t>
      </w:r>
    </w:p>
    <w:p w14:paraId="010A495E" w14:textId="77777777"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highlight w:val="lightGray"/>
        </w:rPr>
        <w:t>(</w:t>
      </w:r>
      <w:r w:rsidRPr="00CA5EC6">
        <w:rPr>
          <w:rFonts w:ascii="標楷體" w:eastAsia="標楷體" w:hAnsi="標楷體" w:hint="eastAsia"/>
          <w:b/>
          <w:bCs/>
          <w:sz w:val="20"/>
          <w:szCs w:val="18"/>
          <w:highlight w:val="lightGray"/>
        </w:rPr>
        <w:t>四</w:t>
      </w:r>
      <w:r w:rsidRPr="00CA5EC6">
        <w:rPr>
          <w:rFonts w:ascii="標楷體" w:eastAsia="標楷體" w:hAnsi="標楷體"/>
          <w:b/>
          <w:bCs/>
          <w:sz w:val="20"/>
          <w:szCs w:val="18"/>
          <w:highlight w:val="lightGray"/>
        </w:rPr>
        <w:t>) 創傷後壓力症候群之照護</w:t>
      </w:r>
    </w:p>
    <w:p w14:paraId="02AD47F6" w14:textId="77777777"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創傷後壓力症候群（Post-Traumatic Stress Disorder）的照護重點在於及早辨識症狀並提供整合性的心理與生理支持，以減少長期功能受損與共病的發生。患者常在經歷重大創傷事件後出現反覆重現經驗、過度警覺、情緒麻木與逃避行為，這些症狀可能影響睡眠、人際關係與日常生活，因此照護需要兼顧症狀緩解與功能恢復。</w:t>
      </w:r>
    </w:p>
    <w:p w14:paraId="4CAE4D4F" w14:textId="77777777"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在臨床上，首先應建立安全且具支持性的治療關係，讓患者能逐步表達創傷經驗而不再受到二次傷害。心理治療是核心，其中以創傷焦點認知行為治療與眼</w:t>
      </w:r>
      <w:proofErr w:type="gramStart"/>
      <w:r w:rsidRPr="00CA5EC6">
        <w:rPr>
          <w:rFonts w:ascii="標楷體" w:eastAsia="標楷體" w:hAnsi="標楷體"/>
          <w:b/>
          <w:bCs/>
          <w:sz w:val="20"/>
          <w:szCs w:val="18"/>
        </w:rPr>
        <w:t>動減敏</w:t>
      </w:r>
      <w:proofErr w:type="gramEnd"/>
      <w:r w:rsidRPr="00CA5EC6">
        <w:rPr>
          <w:rFonts w:ascii="標楷體" w:eastAsia="標楷體" w:hAnsi="標楷體"/>
          <w:b/>
          <w:bCs/>
          <w:sz w:val="20"/>
          <w:szCs w:val="18"/>
        </w:rPr>
        <w:t>與再處理等方法被證實有效，透過重建對事件的認知與降低情緒反應，幫助患者逐漸恢復心理平衡。治療過程需尊重患者節奏，避免過度逼迫回憶創傷內容，以免症狀惡化。</w:t>
      </w:r>
    </w:p>
    <w:p w14:paraId="55D8A3BA" w14:textId="77777777" w:rsidR="00CA5EC6" w:rsidRPr="00CA5EC6" w:rsidRDefault="00CA5EC6" w:rsidP="00CA5EC6">
      <w:pPr>
        <w:rPr>
          <w:rFonts w:ascii="標楷體" w:eastAsia="標楷體" w:hAnsi="標楷體"/>
          <w:sz w:val="20"/>
          <w:szCs w:val="18"/>
        </w:rPr>
      </w:pPr>
      <w:r w:rsidRPr="00CA5EC6">
        <w:rPr>
          <w:rFonts w:ascii="標楷體" w:eastAsia="標楷體" w:hAnsi="標楷體"/>
          <w:b/>
          <w:bCs/>
          <w:sz w:val="20"/>
          <w:szCs w:val="18"/>
        </w:rPr>
        <w:t>藥物治療可作為輔助，特別是在患者出現嚴重焦慮、憂鬱或失眠時，常使用選擇性</w:t>
      </w:r>
      <w:proofErr w:type="gramStart"/>
      <w:r w:rsidRPr="00CA5EC6">
        <w:rPr>
          <w:rFonts w:ascii="標楷體" w:eastAsia="標楷體" w:hAnsi="標楷體"/>
          <w:b/>
          <w:bCs/>
          <w:sz w:val="20"/>
          <w:szCs w:val="18"/>
        </w:rPr>
        <w:t>血清素再吸收</w:t>
      </w:r>
      <w:proofErr w:type="gramEnd"/>
      <w:r w:rsidRPr="00CA5EC6">
        <w:rPr>
          <w:rFonts w:ascii="標楷體" w:eastAsia="標楷體" w:hAnsi="標楷體"/>
          <w:b/>
          <w:bCs/>
          <w:sz w:val="20"/>
          <w:szCs w:val="18"/>
        </w:rPr>
        <w:t>抑制劑來改善整體症狀，同時需持續評估療效與副作用。照護中也應關注患者的身體健康與生活功能，包含睡眠品質、飲食、物質使用及社會支持系統，因為這些因素都會影響復原進程。</w:t>
      </w:r>
    </w:p>
    <w:p w14:paraId="730E07DC" w14:textId="77777777" w:rsidR="00CA5EC6" w:rsidRPr="00CA5EC6" w:rsidRDefault="00CA5EC6" w:rsidP="00CA5EC6">
      <w:pPr>
        <w:rPr>
          <w:rFonts w:ascii="標楷體" w:eastAsia="標楷體" w:hAnsi="標楷體"/>
          <w:sz w:val="20"/>
          <w:szCs w:val="18"/>
        </w:rPr>
      </w:pPr>
      <w:proofErr w:type="gramStart"/>
      <w:r w:rsidRPr="00CA5EC6">
        <w:rPr>
          <w:rFonts w:ascii="標楷體" w:eastAsia="標楷體" w:hAnsi="標楷體"/>
          <w:b/>
          <w:bCs/>
          <w:sz w:val="20"/>
          <w:szCs w:val="18"/>
        </w:rPr>
        <w:t>此外，</w:t>
      </w:r>
      <w:proofErr w:type="gramEnd"/>
      <w:r w:rsidRPr="00CA5EC6">
        <w:rPr>
          <w:rFonts w:ascii="標楷體" w:eastAsia="標楷體" w:hAnsi="標楷體"/>
          <w:b/>
          <w:bCs/>
          <w:sz w:val="20"/>
          <w:szCs w:val="18"/>
        </w:rPr>
        <w:t>家屬與支持系統的參與相當重要，透過教育與溝通讓家人理解疾病特性，可以減少誤解並提升患者的安全感與依附關係。在急性期或高風險情況下，例如出現自傷或他傷意念時，則需提供更密集的監測與保護措施。整體而言，創傷後壓力症候群的照護是一個長期且動態調整的過程，目標不僅是減輕症狀，更在於協助患者重建生活意義與恢復社會功能。</w:t>
      </w:r>
    </w:p>
    <w:p w14:paraId="3ED42A8B" w14:textId="729752E3" w:rsidR="009B3CEA" w:rsidRPr="009F5067" w:rsidRDefault="009F5067" w:rsidP="00CA5EC6">
      <w:pPr>
        <w:widowControl/>
        <w:rPr>
          <w:rFonts w:ascii="Times New Roman" w:eastAsia="標楷體" w:hAnsi="Times New Roman"/>
          <w:b/>
        </w:rPr>
      </w:pPr>
      <w:r w:rsidRPr="00560FD4">
        <w:rPr>
          <w:rFonts w:ascii="Times New Roman" w:eastAsia="標楷體" w:hAnsi="Times New Roman" w:hint="eastAsia"/>
          <w:b/>
        </w:rPr>
        <w:t>十</w:t>
      </w:r>
      <w:r w:rsidR="00721876">
        <w:rPr>
          <w:rFonts w:ascii="Times New Roman" w:eastAsia="標楷體" w:hAnsi="Times New Roman" w:hint="eastAsia"/>
          <w:b/>
        </w:rPr>
        <w:t>二</w:t>
      </w:r>
      <w:r w:rsidRPr="00560FD4">
        <w:rPr>
          <w:rFonts w:ascii="Times New Roman" w:eastAsia="標楷體" w:hAnsi="Times New Roman" w:hint="eastAsia"/>
          <w:b/>
        </w:rPr>
        <w:t>、上課地點交通資訊</w:t>
      </w:r>
    </w:p>
    <w:p w14:paraId="6E20DBE2" w14:textId="39683F53" w:rsidR="00726A12" w:rsidRDefault="00721876" w:rsidP="00E505EA">
      <w:pPr>
        <w:spacing w:line="320" w:lineRule="atLeast"/>
        <w:contextualSpacing/>
        <w:mirrorIndents/>
        <w:rPr>
          <w:rFonts w:ascii="Times New Roman" w:eastAsia="標楷體" w:hAnsi="Times New Roman"/>
          <w:bCs/>
        </w:rPr>
      </w:pPr>
      <w:hyperlink r:id="rId10" w:history="1">
        <w:r w:rsidRPr="00BD6231">
          <w:rPr>
            <w:rStyle w:val="a6"/>
            <w:rFonts w:ascii="Times New Roman" w:eastAsia="標楷體" w:hAnsi="Times New Roman"/>
            <w:bCs/>
          </w:rPr>
          <w:t>https://drive.google.com/drive/folders/1dN1NLJuNLXc9fquvBObUZbRAOZesdcqq?usp=sharing</w:t>
        </w:r>
      </w:hyperlink>
    </w:p>
    <w:p w14:paraId="45F7DFC4" w14:textId="77777777" w:rsidR="00721876" w:rsidRPr="00C17B32" w:rsidRDefault="00721876" w:rsidP="00E505EA">
      <w:pPr>
        <w:spacing w:line="320" w:lineRule="atLeast"/>
        <w:contextualSpacing/>
        <w:mirrorIndents/>
        <w:rPr>
          <w:rFonts w:ascii="Times New Roman" w:eastAsia="標楷體" w:hAnsi="Times New Roman"/>
          <w:b/>
        </w:rPr>
      </w:pPr>
    </w:p>
    <w:p w14:paraId="485A10DB" w14:textId="77777777" w:rsidR="002C395B" w:rsidRPr="00C17B32" w:rsidRDefault="002C395B" w:rsidP="002C395B">
      <w:pPr>
        <w:rPr>
          <w:rFonts w:ascii="標楷體" w:eastAsia="標楷體" w:hAnsi="標楷體"/>
          <w:b/>
        </w:rPr>
      </w:pPr>
      <w:r w:rsidRPr="00C17B32">
        <w:rPr>
          <w:rFonts w:ascii="標楷體" w:eastAsia="標楷體" w:hAnsi="標楷體" w:hint="eastAsia"/>
          <w:b/>
        </w:rPr>
        <w:t>十三、完成報名手續後，若因故無法參加課程時，其退費方式如下：</w:t>
      </w:r>
    </w:p>
    <w:p w14:paraId="42458D88" w14:textId="77777777" w:rsidR="002C395B" w:rsidRPr="004D1AC8" w:rsidRDefault="002C395B" w:rsidP="002C395B">
      <w:pPr>
        <w:rPr>
          <w:rFonts w:ascii="標楷體" w:eastAsia="標楷體" w:hAnsi="標楷體"/>
          <w:bCs/>
        </w:rPr>
      </w:pPr>
      <w:r w:rsidRPr="004D1AC8">
        <w:rPr>
          <w:rFonts w:ascii="標楷體" w:eastAsia="標楷體" w:hAnsi="標楷體" w:hint="eastAsia"/>
          <w:bCs/>
        </w:rPr>
        <w:t>(1)上課前二</w:t>
      </w:r>
      <w:proofErr w:type="gramStart"/>
      <w:r w:rsidRPr="004D1AC8">
        <w:rPr>
          <w:rFonts w:ascii="標楷體" w:eastAsia="標楷體" w:hAnsi="標楷體" w:hint="eastAsia"/>
          <w:bCs/>
        </w:rPr>
        <w:t>週</w:t>
      </w:r>
      <w:proofErr w:type="gramEnd"/>
      <w:r w:rsidRPr="004D1AC8">
        <w:rPr>
          <w:rFonts w:ascii="標楷體" w:eastAsia="標楷體" w:hAnsi="標楷體" w:hint="eastAsia"/>
          <w:bCs/>
        </w:rPr>
        <w:t>來電</w:t>
      </w:r>
      <w:proofErr w:type="gramStart"/>
      <w:r w:rsidRPr="004D1AC8">
        <w:rPr>
          <w:rFonts w:ascii="標楷體" w:eastAsia="標楷體" w:hAnsi="標楷體" w:hint="eastAsia"/>
          <w:bCs/>
        </w:rPr>
        <w:t>取消者扣該</w:t>
      </w:r>
      <w:proofErr w:type="gramEnd"/>
      <w:r w:rsidRPr="004D1AC8">
        <w:rPr>
          <w:rFonts w:ascii="標楷體" w:eastAsia="標楷體" w:hAnsi="標楷體" w:hint="eastAsia"/>
          <w:bCs/>
        </w:rPr>
        <w:t>課程訓練費用之一成。</w:t>
      </w:r>
    </w:p>
    <w:p w14:paraId="01536A6F" w14:textId="77777777" w:rsidR="002C395B" w:rsidRPr="004D1AC8" w:rsidRDefault="002C395B" w:rsidP="002C395B">
      <w:pPr>
        <w:rPr>
          <w:rFonts w:ascii="標楷體" w:eastAsia="標楷體" w:hAnsi="標楷體"/>
          <w:bCs/>
        </w:rPr>
      </w:pPr>
      <w:r w:rsidRPr="004D1AC8">
        <w:rPr>
          <w:rFonts w:ascii="標楷體" w:eastAsia="標楷體" w:hAnsi="標楷體" w:hint="eastAsia"/>
          <w:bCs/>
        </w:rPr>
        <w:t>(2)上課前一</w:t>
      </w:r>
      <w:proofErr w:type="gramStart"/>
      <w:r w:rsidRPr="004D1AC8">
        <w:rPr>
          <w:rFonts w:ascii="標楷體" w:eastAsia="標楷體" w:hAnsi="標楷體" w:hint="eastAsia"/>
          <w:bCs/>
        </w:rPr>
        <w:t>週</w:t>
      </w:r>
      <w:proofErr w:type="gramEnd"/>
      <w:r w:rsidRPr="004D1AC8">
        <w:rPr>
          <w:rFonts w:ascii="標楷體" w:eastAsia="標楷體" w:hAnsi="標楷體" w:hint="eastAsia"/>
          <w:bCs/>
        </w:rPr>
        <w:t>內來電取消者扣除該課程訓練費用之三成。</w:t>
      </w:r>
    </w:p>
    <w:p w14:paraId="011F8A61" w14:textId="4A3C899E" w:rsidR="002C395B" w:rsidRPr="002C395B" w:rsidRDefault="002C395B" w:rsidP="002C395B">
      <w:pPr>
        <w:rPr>
          <w:rFonts w:ascii="標楷體" w:eastAsia="標楷體" w:hAnsi="標楷體"/>
          <w:bCs/>
        </w:rPr>
      </w:pPr>
      <w:r w:rsidRPr="004D1AC8">
        <w:rPr>
          <w:rFonts w:ascii="標楷體" w:eastAsia="標楷體" w:hAnsi="標楷體" w:hint="eastAsia"/>
          <w:bCs/>
        </w:rPr>
        <w:t>(3)上課當天不得取消，未出席者視同放棄，恕</w:t>
      </w:r>
      <w:proofErr w:type="gramStart"/>
      <w:r w:rsidRPr="004D1AC8">
        <w:rPr>
          <w:rFonts w:ascii="標楷體" w:eastAsia="標楷體" w:hAnsi="標楷體" w:hint="eastAsia"/>
          <w:bCs/>
        </w:rPr>
        <w:t>不</w:t>
      </w:r>
      <w:proofErr w:type="gramEnd"/>
      <w:r w:rsidRPr="004D1AC8">
        <w:rPr>
          <w:rFonts w:ascii="標楷體" w:eastAsia="標楷體" w:hAnsi="標楷體" w:hint="eastAsia"/>
          <w:bCs/>
        </w:rPr>
        <w:t>退費。</w:t>
      </w:r>
    </w:p>
    <w:sectPr w:rsidR="002C395B" w:rsidRPr="002C395B" w:rsidSect="00AB32B5">
      <w:pgSz w:w="11906" w:h="16838"/>
      <w:pgMar w:top="567" w:right="282" w:bottom="1440"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D0C3" w14:textId="77777777" w:rsidR="00A67C00" w:rsidRDefault="00A67C00" w:rsidP="00B93641">
      <w:r>
        <w:separator/>
      </w:r>
    </w:p>
  </w:endnote>
  <w:endnote w:type="continuationSeparator" w:id="0">
    <w:p w14:paraId="143186E7" w14:textId="77777777" w:rsidR="00A67C00" w:rsidRDefault="00A67C00" w:rsidP="00B9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02624" w14:textId="77777777" w:rsidR="00A67C00" w:rsidRDefault="00A67C00" w:rsidP="00B93641">
      <w:r>
        <w:separator/>
      </w:r>
    </w:p>
  </w:footnote>
  <w:footnote w:type="continuationSeparator" w:id="0">
    <w:p w14:paraId="273EBE3F" w14:textId="77777777" w:rsidR="00A67C00" w:rsidRDefault="00A67C00" w:rsidP="00B93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2E7D"/>
    <w:multiLevelType w:val="multilevel"/>
    <w:tmpl w:val="4BE6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F6EF2"/>
    <w:multiLevelType w:val="hybridMultilevel"/>
    <w:tmpl w:val="36F85B32"/>
    <w:lvl w:ilvl="0" w:tplc="95D6C44C">
      <w:start w:val="1"/>
      <w:numFmt w:val="taiwaneseCountingThousand"/>
      <w:lvlText w:val="%1、"/>
      <w:lvlJc w:val="left"/>
      <w:pPr>
        <w:tabs>
          <w:tab w:val="num" w:pos="480"/>
        </w:tabs>
        <w:ind w:left="480" w:hanging="480"/>
      </w:pPr>
      <w:rPr>
        <w:color w:val="auto"/>
      </w:rPr>
    </w:lvl>
    <w:lvl w:ilvl="1" w:tplc="04090001">
      <w:start w:val="1"/>
      <w:numFmt w:val="bullet"/>
      <w:lvlText w:val=""/>
      <w:lvlJc w:val="left"/>
      <w:pPr>
        <w:tabs>
          <w:tab w:val="num" w:pos="960"/>
        </w:tabs>
        <w:ind w:left="960" w:hanging="480"/>
      </w:pPr>
      <w:rPr>
        <w:rFonts w:ascii="Wingdings" w:hAnsi="Wingdings" w:hint="default"/>
        <w:color w:val="auto"/>
      </w:rPr>
    </w:lvl>
    <w:lvl w:ilvl="2" w:tplc="0409000F">
      <w:start w:val="1"/>
      <w:numFmt w:val="decimal"/>
      <w:lvlText w:val="%3."/>
      <w:lvlJc w:val="left"/>
      <w:pPr>
        <w:tabs>
          <w:tab w:val="num" w:pos="1440"/>
        </w:tabs>
        <w:ind w:left="1440" w:hanging="480"/>
      </w:pPr>
    </w:lvl>
    <w:lvl w:ilvl="3" w:tplc="0409000F">
      <w:start w:val="1"/>
      <w:numFmt w:val="decimal"/>
      <w:lvlText w:val="%4."/>
      <w:lvlJc w:val="left"/>
      <w:pPr>
        <w:tabs>
          <w:tab w:val="num" w:pos="1920"/>
        </w:tabs>
        <w:ind w:left="1920" w:hanging="480"/>
      </w:pPr>
    </w:lvl>
    <w:lvl w:ilvl="4" w:tplc="E7BE13C2">
      <w:start w:val="1"/>
      <w:numFmt w:val="taiwaneseCountingThousand"/>
      <w:lvlText w:val="(%5)"/>
      <w:lvlJc w:val="left"/>
      <w:pPr>
        <w:ind w:left="2400" w:hanging="48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7B61116"/>
    <w:multiLevelType w:val="multilevel"/>
    <w:tmpl w:val="7BD65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FE0E8C"/>
    <w:multiLevelType w:val="multilevel"/>
    <w:tmpl w:val="8D8A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2034F"/>
    <w:multiLevelType w:val="multilevel"/>
    <w:tmpl w:val="4AD42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4706B"/>
    <w:multiLevelType w:val="multilevel"/>
    <w:tmpl w:val="073C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74A08"/>
    <w:multiLevelType w:val="hybridMultilevel"/>
    <w:tmpl w:val="DCEE4E12"/>
    <w:lvl w:ilvl="0" w:tplc="764CC73E">
      <w:start w:val="1"/>
      <w:numFmt w:val="decimal"/>
      <w:lvlText w:val="%1."/>
      <w:lvlJc w:val="left"/>
      <w:pPr>
        <w:ind w:left="840" w:hanging="360"/>
      </w:pPr>
      <w:rPr>
        <w:rFonts w:ascii="Times New Roman" w:eastAsia="標楷體" w:hAnsi="Times New Roman" w:cs="Times New Roman"/>
      </w:rPr>
    </w:lvl>
    <w:lvl w:ilvl="1" w:tplc="3982AE3A">
      <w:start w:val="1"/>
      <w:numFmt w:val="taiwaneseCountingThousand"/>
      <w:suff w:val="nothing"/>
      <w:lvlText w:val="%2、"/>
      <w:lvlJc w:val="left"/>
      <w:pPr>
        <w:ind w:left="420" w:hanging="420"/>
      </w:pPr>
      <w:rPr>
        <w:b/>
        <w:bCs/>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 w15:restartNumberingAfterBreak="0">
    <w:nsid w:val="25032C64"/>
    <w:multiLevelType w:val="hybridMultilevel"/>
    <w:tmpl w:val="1020F84C"/>
    <w:lvl w:ilvl="0" w:tplc="4D4E1FCA">
      <w:start w:val="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C03235C"/>
    <w:multiLevelType w:val="multilevel"/>
    <w:tmpl w:val="673E12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A0684"/>
    <w:multiLevelType w:val="multilevel"/>
    <w:tmpl w:val="456C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14209"/>
    <w:multiLevelType w:val="multilevel"/>
    <w:tmpl w:val="1EC25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9114C2"/>
    <w:multiLevelType w:val="multilevel"/>
    <w:tmpl w:val="FAB6B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460A50"/>
    <w:multiLevelType w:val="hybridMultilevel"/>
    <w:tmpl w:val="81BEC81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6816121"/>
    <w:multiLevelType w:val="hybridMultilevel"/>
    <w:tmpl w:val="91026BE8"/>
    <w:lvl w:ilvl="0" w:tplc="95D6C44C">
      <w:start w:val="1"/>
      <w:numFmt w:val="taiwaneseCountingThousand"/>
      <w:lvlText w:val="%1、"/>
      <w:lvlJc w:val="left"/>
      <w:pPr>
        <w:tabs>
          <w:tab w:val="num" w:pos="480"/>
        </w:tabs>
        <w:ind w:left="480" w:hanging="480"/>
      </w:pPr>
      <w:rPr>
        <w:color w:val="auto"/>
      </w:rPr>
    </w:lvl>
    <w:lvl w:ilvl="1" w:tplc="04090001">
      <w:start w:val="1"/>
      <w:numFmt w:val="bullet"/>
      <w:lvlText w:val=""/>
      <w:lvlJc w:val="left"/>
      <w:pPr>
        <w:tabs>
          <w:tab w:val="num" w:pos="960"/>
        </w:tabs>
        <w:ind w:left="960" w:hanging="480"/>
      </w:pPr>
      <w:rPr>
        <w:rFonts w:ascii="Wingdings" w:hAnsi="Wingdings" w:hint="default"/>
        <w:color w:val="auto"/>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E7BE13C2">
      <w:start w:val="1"/>
      <w:numFmt w:val="taiwaneseCountingThousand"/>
      <w:lvlText w:val="(%5)"/>
      <w:lvlJc w:val="left"/>
      <w:pPr>
        <w:ind w:left="2400" w:hanging="48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5E635057"/>
    <w:multiLevelType w:val="multilevel"/>
    <w:tmpl w:val="A918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65CD1"/>
    <w:multiLevelType w:val="multilevel"/>
    <w:tmpl w:val="120E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094B9C"/>
    <w:multiLevelType w:val="hybridMultilevel"/>
    <w:tmpl w:val="C712941E"/>
    <w:lvl w:ilvl="0" w:tplc="8604DCA2">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81038116">
    <w:abstractNumId w:val="15"/>
  </w:num>
  <w:num w:numId="2" w16cid:durableId="458572857">
    <w:abstractNumId w:val="2"/>
  </w:num>
  <w:num w:numId="3" w16cid:durableId="1601374861">
    <w:abstractNumId w:val="10"/>
  </w:num>
  <w:num w:numId="4" w16cid:durableId="197012031">
    <w:abstractNumId w:val="3"/>
  </w:num>
  <w:num w:numId="5" w16cid:durableId="688221479">
    <w:abstractNumId w:val="8"/>
  </w:num>
  <w:num w:numId="6" w16cid:durableId="159735515">
    <w:abstractNumId w:val="14"/>
  </w:num>
  <w:num w:numId="7" w16cid:durableId="415977741">
    <w:abstractNumId w:val="9"/>
  </w:num>
  <w:num w:numId="8" w16cid:durableId="38094254">
    <w:abstractNumId w:val="0"/>
  </w:num>
  <w:num w:numId="9" w16cid:durableId="646324494">
    <w:abstractNumId w:val="16"/>
  </w:num>
  <w:num w:numId="10" w16cid:durableId="204879633">
    <w:abstractNumId w:val="13"/>
  </w:num>
  <w:num w:numId="11" w16cid:durableId="518395805">
    <w:abstractNumId w:val="12"/>
  </w:num>
  <w:num w:numId="12" w16cid:durableId="215052561">
    <w:abstractNumId w:val="7"/>
  </w:num>
  <w:num w:numId="13" w16cid:durableId="1200511988">
    <w:abstractNumId w:val="1"/>
  </w:num>
  <w:num w:numId="14" w16cid:durableId="1128159420">
    <w:abstractNumId w:val="11"/>
  </w:num>
  <w:num w:numId="15" w16cid:durableId="2132629907">
    <w:abstractNumId w:val="4"/>
  </w:num>
  <w:num w:numId="16" w16cid:durableId="1692798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79096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A49"/>
    <w:rsid w:val="000140E5"/>
    <w:rsid w:val="00027C6F"/>
    <w:rsid w:val="00055CD5"/>
    <w:rsid w:val="000673ED"/>
    <w:rsid w:val="00085EAA"/>
    <w:rsid w:val="000B1D85"/>
    <w:rsid w:val="001239E5"/>
    <w:rsid w:val="00126C62"/>
    <w:rsid w:val="00131AE7"/>
    <w:rsid w:val="00132FFE"/>
    <w:rsid w:val="0016565E"/>
    <w:rsid w:val="00172079"/>
    <w:rsid w:val="00196846"/>
    <w:rsid w:val="00221972"/>
    <w:rsid w:val="00282CAF"/>
    <w:rsid w:val="002A4B16"/>
    <w:rsid w:val="002A7744"/>
    <w:rsid w:val="002C395B"/>
    <w:rsid w:val="002F1D51"/>
    <w:rsid w:val="00300AD7"/>
    <w:rsid w:val="00316F37"/>
    <w:rsid w:val="00361084"/>
    <w:rsid w:val="003A1C5E"/>
    <w:rsid w:val="003E134A"/>
    <w:rsid w:val="004225B4"/>
    <w:rsid w:val="00454027"/>
    <w:rsid w:val="00475A32"/>
    <w:rsid w:val="00497738"/>
    <w:rsid w:val="004C634B"/>
    <w:rsid w:val="00503ACE"/>
    <w:rsid w:val="005F2D6A"/>
    <w:rsid w:val="0060080A"/>
    <w:rsid w:val="00656EA9"/>
    <w:rsid w:val="006E0200"/>
    <w:rsid w:val="006E25BF"/>
    <w:rsid w:val="006F0AE4"/>
    <w:rsid w:val="006F1FD6"/>
    <w:rsid w:val="00721876"/>
    <w:rsid w:val="00726A12"/>
    <w:rsid w:val="00740462"/>
    <w:rsid w:val="007A7F93"/>
    <w:rsid w:val="007B70D8"/>
    <w:rsid w:val="007C3AC5"/>
    <w:rsid w:val="00840669"/>
    <w:rsid w:val="00886AEB"/>
    <w:rsid w:val="008D1C1A"/>
    <w:rsid w:val="008F5EF1"/>
    <w:rsid w:val="009574B8"/>
    <w:rsid w:val="009B3CEA"/>
    <w:rsid w:val="009F5067"/>
    <w:rsid w:val="00A07D92"/>
    <w:rsid w:val="00A267BD"/>
    <w:rsid w:val="00A67C00"/>
    <w:rsid w:val="00A919E1"/>
    <w:rsid w:val="00AA3155"/>
    <w:rsid w:val="00AB2403"/>
    <w:rsid w:val="00AB32B5"/>
    <w:rsid w:val="00AD1E9E"/>
    <w:rsid w:val="00B06542"/>
    <w:rsid w:val="00B16ABE"/>
    <w:rsid w:val="00B73235"/>
    <w:rsid w:val="00B9322E"/>
    <w:rsid w:val="00B93641"/>
    <w:rsid w:val="00BB67BF"/>
    <w:rsid w:val="00BE155C"/>
    <w:rsid w:val="00C147C9"/>
    <w:rsid w:val="00C17B32"/>
    <w:rsid w:val="00C463B2"/>
    <w:rsid w:val="00CA5EC6"/>
    <w:rsid w:val="00CD5715"/>
    <w:rsid w:val="00D109CF"/>
    <w:rsid w:val="00D16A49"/>
    <w:rsid w:val="00D568F6"/>
    <w:rsid w:val="00DB4D15"/>
    <w:rsid w:val="00DB4F68"/>
    <w:rsid w:val="00DE0287"/>
    <w:rsid w:val="00E15327"/>
    <w:rsid w:val="00E3462C"/>
    <w:rsid w:val="00E445CD"/>
    <w:rsid w:val="00E505EA"/>
    <w:rsid w:val="00EB02CD"/>
    <w:rsid w:val="00EC7689"/>
    <w:rsid w:val="00EF2B03"/>
    <w:rsid w:val="00F25242"/>
    <w:rsid w:val="00FB0D75"/>
    <w:rsid w:val="00FC4716"/>
    <w:rsid w:val="00FD5883"/>
    <w:rsid w:val="00FD69AC"/>
    <w:rsid w:val="00FF61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53E2F"/>
  <w15:chartTrackingRefBased/>
  <w15:docId w15:val="{6EBD01CB-2BA8-4E49-AE1F-1C6AD3F5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5EC6"/>
    <w:pPr>
      <w:widowControl w:val="0"/>
    </w:pPr>
  </w:style>
  <w:style w:type="paragraph" w:styleId="2">
    <w:name w:val="heading 2"/>
    <w:basedOn w:val="a"/>
    <w:link w:val="20"/>
    <w:uiPriority w:val="9"/>
    <w:qFormat/>
    <w:rsid w:val="00D16A49"/>
    <w:pPr>
      <w:widowControl/>
      <w:spacing w:before="100" w:beforeAutospacing="1" w:after="100" w:afterAutospacing="1"/>
      <w:outlineLvl w:val="1"/>
    </w:pPr>
    <w:rPr>
      <w:rFonts w:ascii="新細明體" w:eastAsia="新細明體" w:hAnsi="新細明體" w:cs="新細明體"/>
      <w:b/>
      <w:bCs/>
      <w:kern w:val="0"/>
      <w:sz w:val="36"/>
      <w:szCs w:val="36"/>
    </w:rPr>
  </w:style>
  <w:style w:type="paragraph" w:styleId="3">
    <w:name w:val="heading 3"/>
    <w:basedOn w:val="a"/>
    <w:next w:val="a"/>
    <w:link w:val="30"/>
    <w:uiPriority w:val="9"/>
    <w:semiHidden/>
    <w:unhideWhenUsed/>
    <w:qFormat/>
    <w:rsid w:val="00D16A49"/>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16A49"/>
    <w:rPr>
      <w:b/>
      <w:bCs/>
    </w:rPr>
  </w:style>
  <w:style w:type="character" w:customStyle="1" w:styleId="20">
    <w:name w:val="標題 2 字元"/>
    <w:basedOn w:val="a0"/>
    <w:link w:val="2"/>
    <w:uiPriority w:val="9"/>
    <w:rsid w:val="00D16A49"/>
    <w:rPr>
      <w:rFonts w:ascii="新細明體" w:eastAsia="新細明體" w:hAnsi="新細明體" w:cs="新細明體"/>
      <w:b/>
      <w:bCs/>
      <w:kern w:val="0"/>
      <w:sz w:val="36"/>
      <w:szCs w:val="36"/>
    </w:rPr>
  </w:style>
  <w:style w:type="character" w:customStyle="1" w:styleId="whitespace-normal">
    <w:name w:val="whitespace-normal"/>
    <w:basedOn w:val="a0"/>
    <w:rsid w:val="00D16A49"/>
  </w:style>
  <w:style w:type="character" w:customStyle="1" w:styleId="30">
    <w:name w:val="標題 3 字元"/>
    <w:basedOn w:val="a0"/>
    <w:link w:val="3"/>
    <w:uiPriority w:val="9"/>
    <w:semiHidden/>
    <w:rsid w:val="00D16A49"/>
    <w:rPr>
      <w:rFonts w:asciiTheme="majorHAnsi" w:eastAsiaTheme="majorEastAsia" w:hAnsiTheme="majorHAnsi" w:cstheme="majorBidi"/>
      <w:b/>
      <w:bCs/>
      <w:sz w:val="36"/>
      <w:szCs w:val="36"/>
    </w:rPr>
  </w:style>
  <w:style w:type="paragraph" w:styleId="Web">
    <w:name w:val="Normal (Web)"/>
    <w:basedOn w:val="a"/>
    <w:uiPriority w:val="99"/>
    <w:unhideWhenUsed/>
    <w:rsid w:val="005F2D6A"/>
    <w:pPr>
      <w:widowControl/>
      <w:spacing w:before="100" w:beforeAutospacing="1" w:after="100" w:afterAutospacing="1"/>
    </w:pPr>
    <w:rPr>
      <w:rFonts w:ascii="新細明體" w:eastAsia="新細明體" w:hAnsi="新細明體" w:cs="新細明體"/>
      <w:kern w:val="0"/>
      <w:szCs w:val="24"/>
    </w:rPr>
  </w:style>
  <w:style w:type="paragraph" w:styleId="a4">
    <w:name w:val="List Paragraph"/>
    <w:basedOn w:val="a"/>
    <w:uiPriority w:val="34"/>
    <w:qFormat/>
    <w:rsid w:val="00AB32B5"/>
    <w:pPr>
      <w:ind w:leftChars="200" w:left="480"/>
    </w:pPr>
  </w:style>
  <w:style w:type="table" w:styleId="a5">
    <w:name w:val="Table Grid"/>
    <w:basedOn w:val="a1"/>
    <w:rsid w:val="00AB32B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3626702738291932398il">
    <w:name w:val="m_3626702738291932398il"/>
    <w:basedOn w:val="a0"/>
    <w:rsid w:val="00AB32B5"/>
  </w:style>
  <w:style w:type="character" w:styleId="a6">
    <w:name w:val="Hyperlink"/>
    <w:basedOn w:val="a0"/>
    <w:rsid w:val="00B93641"/>
    <w:rPr>
      <w:color w:val="0000FF"/>
      <w:u w:val="single"/>
    </w:rPr>
  </w:style>
  <w:style w:type="paragraph" w:styleId="a7">
    <w:name w:val="header"/>
    <w:basedOn w:val="a"/>
    <w:link w:val="a8"/>
    <w:uiPriority w:val="99"/>
    <w:unhideWhenUsed/>
    <w:rsid w:val="00B93641"/>
    <w:pPr>
      <w:tabs>
        <w:tab w:val="center" w:pos="4153"/>
        <w:tab w:val="right" w:pos="8306"/>
      </w:tabs>
      <w:snapToGrid w:val="0"/>
    </w:pPr>
    <w:rPr>
      <w:sz w:val="20"/>
      <w:szCs w:val="20"/>
    </w:rPr>
  </w:style>
  <w:style w:type="character" w:customStyle="1" w:styleId="a8">
    <w:name w:val="頁首 字元"/>
    <w:basedOn w:val="a0"/>
    <w:link w:val="a7"/>
    <w:uiPriority w:val="99"/>
    <w:rsid w:val="00B93641"/>
    <w:rPr>
      <w:sz w:val="20"/>
      <w:szCs w:val="20"/>
    </w:rPr>
  </w:style>
  <w:style w:type="paragraph" w:styleId="a9">
    <w:name w:val="footer"/>
    <w:basedOn w:val="a"/>
    <w:link w:val="aa"/>
    <w:uiPriority w:val="99"/>
    <w:unhideWhenUsed/>
    <w:rsid w:val="00B93641"/>
    <w:pPr>
      <w:tabs>
        <w:tab w:val="center" w:pos="4153"/>
        <w:tab w:val="right" w:pos="8306"/>
      </w:tabs>
      <w:snapToGrid w:val="0"/>
    </w:pPr>
    <w:rPr>
      <w:sz w:val="20"/>
      <w:szCs w:val="20"/>
    </w:rPr>
  </w:style>
  <w:style w:type="character" w:customStyle="1" w:styleId="aa">
    <w:name w:val="頁尾 字元"/>
    <w:basedOn w:val="a0"/>
    <w:link w:val="a9"/>
    <w:uiPriority w:val="99"/>
    <w:rsid w:val="00B93641"/>
    <w:rPr>
      <w:sz w:val="20"/>
      <w:szCs w:val="20"/>
    </w:rPr>
  </w:style>
  <w:style w:type="character" w:styleId="ab">
    <w:name w:val="Unresolved Mention"/>
    <w:basedOn w:val="a0"/>
    <w:uiPriority w:val="99"/>
    <w:semiHidden/>
    <w:unhideWhenUsed/>
    <w:rsid w:val="00316F37"/>
    <w:rPr>
      <w:color w:val="605E5C"/>
      <w:shd w:val="clear" w:color="auto" w:fill="E1DFDD"/>
    </w:rPr>
  </w:style>
  <w:style w:type="table" w:customStyle="1" w:styleId="1">
    <w:name w:val="表格格線1"/>
    <w:basedOn w:val="a1"/>
    <w:next w:val="a5"/>
    <w:uiPriority w:val="59"/>
    <w:rsid w:val="00E34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7">
    <w:name w:val="Grid Table 7 Colorful"/>
    <w:basedOn w:val="a1"/>
    <w:uiPriority w:val="52"/>
    <w:rsid w:val="00E15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ac">
    <w:name w:val="FollowedHyperlink"/>
    <w:basedOn w:val="a0"/>
    <w:uiPriority w:val="99"/>
    <w:semiHidden/>
    <w:unhideWhenUsed/>
    <w:rsid w:val="00726A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6496">
      <w:bodyDiv w:val="1"/>
      <w:marLeft w:val="0"/>
      <w:marRight w:val="0"/>
      <w:marTop w:val="0"/>
      <w:marBottom w:val="0"/>
      <w:divBdr>
        <w:top w:val="none" w:sz="0" w:space="0" w:color="auto"/>
        <w:left w:val="none" w:sz="0" w:space="0" w:color="auto"/>
        <w:bottom w:val="none" w:sz="0" w:space="0" w:color="auto"/>
        <w:right w:val="none" w:sz="0" w:space="0" w:color="auto"/>
      </w:divBdr>
    </w:div>
    <w:div w:id="84543851">
      <w:bodyDiv w:val="1"/>
      <w:marLeft w:val="0"/>
      <w:marRight w:val="0"/>
      <w:marTop w:val="0"/>
      <w:marBottom w:val="0"/>
      <w:divBdr>
        <w:top w:val="none" w:sz="0" w:space="0" w:color="auto"/>
        <w:left w:val="none" w:sz="0" w:space="0" w:color="auto"/>
        <w:bottom w:val="none" w:sz="0" w:space="0" w:color="auto"/>
        <w:right w:val="none" w:sz="0" w:space="0" w:color="auto"/>
      </w:divBdr>
    </w:div>
    <w:div w:id="406153369">
      <w:bodyDiv w:val="1"/>
      <w:marLeft w:val="0"/>
      <w:marRight w:val="0"/>
      <w:marTop w:val="0"/>
      <w:marBottom w:val="0"/>
      <w:divBdr>
        <w:top w:val="none" w:sz="0" w:space="0" w:color="auto"/>
        <w:left w:val="none" w:sz="0" w:space="0" w:color="auto"/>
        <w:bottom w:val="none" w:sz="0" w:space="0" w:color="auto"/>
        <w:right w:val="none" w:sz="0" w:space="0" w:color="auto"/>
      </w:divBdr>
    </w:div>
    <w:div w:id="1173454555">
      <w:bodyDiv w:val="1"/>
      <w:marLeft w:val="0"/>
      <w:marRight w:val="0"/>
      <w:marTop w:val="0"/>
      <w:marBottom w:val="0"/>
      <w:divBdr>
        <w:top w:val="none" w:sz="0" w:space="0" w:color="auto"/>
        <w:left w:val="none" w:sz="0" w:space="0" w:color="auto"/>
        <w:bottom w:val="none" w:sz="0" w:space="0" w:color="auto"/>
        <w:right w:val="none" w:sz="0" w:space="0" w:color="auto"/>
      </w:divBdr>
    </w:div>
    <w:div w:id="1192720329">
      <w:bodyDiv w:val="1"/>
      <w:marLeft w:val="0"/>
      <w:marRight w:val="0"/>
      <w:marTop w:val="0"/>
      <w:marBottom w:val="0"/>
      <w:divBdr>
        <w:top w:val="none" w:sz="0" w:space="0" w:color="auto"/>
        <w:left w:val="none" w:sz="0" w:space="0" w:color="auto"/>
        <w:bottom w:val="none" w:sz="0" w:space="0" w:color="auto"/>
        <w:right w:val="none" w:sz="0" w:space="0" w:color="auto"/>
      </w:divBdr>
    </w:div>
    <w:div w:id="1310285836">
      <w:bodyDiv w:val="1"/>
      <w:marLeft w:val="0"/>
      <w:marRight w:val="0"/>
      <w:marTop w:val="0"/>
      <w:marBottom w:val="0"/>
      <w:divBdr>
        <w:top w:val="none" w:sz="0" w:space="0" w:color="auto"/>
        <w:left w:val="none" w:sz="0" w:space="0" w:color="auto"/>
        <w:bottom w:val="none" w:sz="0" w:space="0" w:color="auto"/>
        <w:right w:val="none" w:sz="0" w:space="0" w:color="auto"/>
      </w:divBdr>
    </w:div>
    <w:div w:id="1621566081">
      <w:bodyDiv w:val="1"/>
      <w:marLeft w:val="0"/>
      <w:marRight w:val="0"/>
      <w:marTop w:val="0"/>
      <w:marBottom w:val="0"/>
      <w:divBdr>
        <w:top w:val="none" w:sz="0" w:space="0" w:color="auto"/>
        <w:left w:val="none" w:sz="0" w:space="0" w:color="auto"/>
        <w:bottom w:val="none" w:sz="0" w:space="0" w:color="auto"/>
        <w:right w:val="none" w:sz="0" w:space="0" w:color="auto"/>
      </w:divBdr>
    </w:div>
    <w:div w:id="185021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aannvus7W5JCg2A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rive.google.com/drive/folders/1dN1NLJuNLXc9fquvBObUZbRAOZesdcqq?usp=sharing" TargetMode="External"/><Relationship Id="rId4" Type="http://schemas.openxmlformats.org/officeDocument/2006/relationships/settings" Target="settings.xml"/><Relationship Id="rId9" Type="http://schemas.openxmlformats.org/officeDocument/2006/relationships/hyperlink" Target="mailto:huangyuti@landseed.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79F09-72F7-4FEE-96DD-835CF26CB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3</Pages>
  <Words>481</Words>
  <Characters>2748</Characters>
  <Application>Microsoft Office Word</Application>
  <DocSecurity>0</DocSecurity>
  <Lines>22</Lines>
  <Paragraphs>6</Paragraphs>
  <ScaleCrop>false</ScaleCrop>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丁貞紋</dc:creator>
  <cp:keywords/>
  <dc:description/>
  <cp:lastModifiedBy>黃郁庭</cp:lastModifiedBy>
  <cp:revision>56</cp:revision>
  <dcterms:created xsi:type="dcterms:W3CDTF">2026-03-30T07:45:00Z</dcterms:created>
  <dcterms:modified xsi:type="dcterms:W3CDTF">2026-07-07T07:03:00Z</dcterms:modified>
</cp:coreProperties>
</file>